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55B77484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3F480B7F" w14:textId="717012AB" w:rsidR="00AD3F42" w:rsidRPr="001444CC" w:rsidRDefault="00907D9D" w:rsidP="00907D9D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907D9D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Elektronske storitve za državljane (e-Uprava3): nadgradnja orodij informacijske tehnologije in e-storitev po konceptu življenjskih dogodkov ("vse na enem mestu"), omogočena uporaba tudi za tujce</w:t>
      </w:r>
    </w:p>
    <w:p w14:paraId="49EDCCF8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2DD2B06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50C4A58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38CF147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5FB4E34" w14:textId="77777777" w:rsidR="009E3DC3" w:rsidRDefault="009E3DC3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F013267" w14:textId="77777777" w:rsidR="00B04CB0" w:rsidRPr="001444CC" w:rsidRDefault="00B04CB0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2493B5B7" w14:textId="77777777" w:rsidR="00991150" w:rsidRDefault="00991150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3F5A4D42" w14:textId="77777777" w:rsidR="00991150" w:rsidRDefault="00991150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0B6F45F4" w:rsidR="00D259A9" w:rsidRPr="00697D3B" w:rsidRDefault="00F80C01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077DE9C7" w:rsidR="00D259A9" w:rsidRPr="00697D3B" w:rsidRDefault="00D1706A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color w:val="000000"/>
                <w:sz w:val="22"/>
                <w:szCs w:val="22"/>
                <w:lang w:val="sl-SI" w:eastAsia="sl-SI"/>
              </w:rPr>
              <w:t xml:space="preserve">Ministrstvo za </w:t>
            </w:r>
            <w:r w:rsidR="00907D9D">
              <w:rPr>
                <w:rFonts w:cs="Arial"/>
                <w:color w:val="000000"/>
                <w:sz w:val="22"/>
                <w:szCs w:val="22"/>
                <w:lang w:val="sl-SI" w:eastAsia="sl-SI"/>
              </w:rPr>
              <w:t>digitalno preobrazbo</w:t>
            </w:r>
          </w:p>
        </w:tc>
      </w:tr>
    </w:tbl>
    <w:p w14:paraId="54441373" w14:textId="77777777" w:rsidR="00656187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6C465861" w14:textId="77777777" w:rsidR="00907D9D" w:rsidRPr="00907D9D" w:rsidRDefault="00907D9D" w:rsidP="00907D9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07D9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61B96E7B" w14:textId="77777777" w:rsidR="00907D9D" w:rsidRPr="00907D9D" w:rsidRDefault="00907D9D" w:rsidP="00907D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 xml:space="preserve">Nadgradnja državnega portala eUprava je bila izvedena z namenom: </w:t>
      </w:r>
    </w:p>
    <w:p w14:paraId="21D05E98" w14:textId="77777777" w:rsidR="00907D9D" w:rsidRPr="00907D9D" w:rsidRDefault="00907D9D" w:rsidP="00907D9D">
      <w:pPr>
        <w:numPr>
          <w:ilvl w:val="1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širjenja digitalnih javnih storitev,</w:t>
      </w:r>
    </w:p>
    <w:p w14:paraId="51C9B500" w14:textId="77777777" w:rsidR="00907D9D" w:rsidRPr="00907D9D" w:rsidRDefault="00907D9D" w:rsidP="00907D9D">
      <w:pPr>
        <w:numPr>
          <w:ilvl w:val="1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izboljšanja kakovosti življenja državljanov,</w:t>
      </w:r>
    </w:p>
    <w:p w14:paraId="42319B4A" w14:textId="77777777" w:rsidR="00907D9D" w:rsidRPr="00907D9D" w:rsidRDefault="00907D9D" w:rsidP="00907D9D">
      <w:pPr>
        <w:numPr>
          <w:ilvl w:val="1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uvedbe koncepta življenjskih dogodkov (one-stop-shop),</w:t>
      </w:r>
    </w:p>
    <w:p w14:paraId="041F3B01" w14:textId="77777777" w:rsidR="00907D9D" w:rsidRPr="00907D9D" w:rsidRDefault="00907D9D" w:rsidP="00907D9D">
      <w:pPr>
        <w:numPr>
          <w:ilvl w:val="1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omogočanja uporabe storitev tudi za tujce.</w:t>
      </w:r>
    </w:p>
    <w:p w14:paraId="3D275607" w14:textId="77777777" w:rsidR="00907D9D" w:rsidRPr="00907D9D" w:rsidRDefault="00907D9D" w:rsidP="00907D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91C1B05" w14:textId="77777777" w:rsidR="00907D9D" w:rsidRPr="00907D9D" w:rsidRDefault="00907D9D" w:rsidP="00907D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 xml:space="preserve">V času izvajanja ukrepa je: </w:t>
      </w:r>
    </w:p>
    <w:p w14:paraId="36454571" w14:textId="77777777" w:rsidR="00907D9D" w:rsidRPr="00907D9D" w:rsidRDefault="00907D9D" w:rsidP="00907D9D">
      <w:pPr>
        <w:numPr>
          <w:ilvl w:val="1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bilo prenovljenih in optimiziranih več kot 200 elektronskih vlog,</w:t>
      </w:r>
    </w:p>
    <w:p w14:paraId="1A85C37D" w14:textId="77777777" w:rsidR="00907D9D" w:rsidRPr="00907D9D" w:rsidRDefault="00907D9D" w:rsidP="00907D9D">
      <w:pPr>
        <w:numPr>
          <w:ilvl w:val="1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260.000 uporabnikov odprlo varni predal na portalu eUprava,</w:t>
      </w:r>
    </w:p>
    <w:p w14:paraId="18A9582C" w14:textId="77777777" w:rsidR="00907D9D" w:rsidRPr="00907D9D" w:rsidRDefault="00907D9D" w:rsidP="00907D9D">
      <w:pPr>
        <w:numPr>
          <w:ilvl w:val="1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skupno število registriranih uporabnikov portala preseglo 400.000.</w:t>
      </w:r>
    </w:p>
    <w:p w14:paraId="33A84795" w14:textId="77777777" w:rsidR="00907D9D" w:rsidRPr="00907D9D" w:rsidRDefault="00907D9D" w:rsidP="00907D9D">
      <w:pPr>
        <w:spacing w:before="0" w:after="0"/>
        <w:rPr>
          <w:rFonts w:asciiTheme="majorHAnsi" w:eastAsia="Book Antiqua" w:hAnsiTheme="majorHAnsi" w:cs="Book Antiqua"/>
          <w:sz w:val="22"/>
          <w:szCs w:val="22"/>
          <w:lang w:val="sl-SI"/>
        </w:rPr>
      </w:pPr>
    </w:p>
    <w:p w14:paraId="59CEF06D" w14:textId="77777777" w:rsidR="00907D9D" w:rsidRPr="00907D9D" w:rsidRDefault="00907D9D" w:rsidP="00907D9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07D9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72EA6282" w14:textId="77777777" w:rsidR="00907D9D" w:rsidRPr="00907D9D" w:rsidRDefault="00907D9D" w:rsidP="00907D9D">
      <w:pPr>
        <w:spacing w:before="0" w:after="0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Za izvedbo ukrepa ni bila sprejeta posebna zakonodaja, saj gre za tehnično rešitev in optimizacijo procesov.</w:t>
      </w:r>
    </w:p>
    <w:p w14:paraId="24D1F80F" w14:textId="77777777" w:rsidR="00907D9D" w:rsidRPr="00907D9D" w:rsidRDefault="00907D9D" w:rsidP="00907D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6262168" w14:textId="77777777" w:rsidR="00907D9D" w:rsidRPr="00907D9D" w:rsidRDefault="00907D9D" w:rsidP="00907D9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07D9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1FDC50F9" w14:textId="77777777" w:rsidR="00907D9D" w:rsidRPr="00907D9D" w:rsidRDefault="00907D9D" w:rsidP="00907D9D">
      <w:pPr>
        <w:numPr>
          <w:ilvl w:val="0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Digitalizacija postopkov in odprava fizičnih aktivnosti državljanov</w:t>
      </w:r>
    </w:p>
    <w:p w14:paraId="621B3127" w14:textId="77777777" w:rsidR="00907D9D" w:rsidRPr="00907D9D" w:rsidRDefault="00907D9D" w:rsidP="00907D9D">
      <w:pPr>
        <w:numPr>
          <w:ilvl w:val="0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Zmanjšanje stroškov in skrajšanje časa za oddajo vlog</w:t>
      </w:r>
    </w:p>
    <w:p w14:paraId="4839970F" w14:textId="77777777" w:rsidR="00907D9D" w:rsidRPr="00907D9D" w:rsidRDefault="00907D9D" w:rsidP="00907D9D">
      <w:pPr>
        <w:numPr>
          <w:ilvl w:val="0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Večja interoperabilnost informacijskih rešitev</w:t>
      </w:r>
    </w:p>
    <w:p w14:paraId="6464F7E2" w14:textId="77777777" w:rsidR="00907D9D" w:rsidRPr="00907D9D" w:rsidRDefault="00907D9D" w:rsidP="00907D9D">
      <w:pPr>
        <w:numPr>
          <w:ilvl w:val="0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Dvig uporabe e-storitev in izboljšanje uporabniške izkušnje</w:t>
      </w:r>
    </w:p>
    <w:p w14:paraId="1086865A" w14:textId="77777777" w:rsidR="00907D9D" w:rsidRPr="00907D9D" w:rsidRDefault="00907D9D" w:rsidP="00907D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3DCD7BB" w14:textId="77777777" w:rsidR="00907D9D" w:rsidRPr="00907D9D" w:rsidRDefault="00907D9D" w:rsidP="00907D9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07D9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1A4CDAC8" w14:textId="77777777" w:rsidR="00907D9D" w:rsidRPr="00907D9D" w:rsidRDefault="00907D9D" w:rsidP="00907D9D">
      <w:pPr>
        <w:numPr>
          <w:ilvl w:val="0"/>
          <w:numId w:val="1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Vse uporabnike državnega portala eUprava (državljane in tujce)</w:t>
      </w:r>
    </w:p>
    <w:p w14:paraId="1171E6D4" w14:textId="77777777" w:rsidR="00907D9D" w:rsidRPr="00907D9D" w:rsidRDefault="00907D9D" w:rsidP="00907D9D">
      <w:pPr>
        <w:numPr>
          <w:ilvl w:val="0"/>
          <w:numId w:val="1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Javne organe, ki ponujajo storitve prek portala</w:t>
      </w:r>
    </w:p>
    <w:p w14:paraId="59B10105" w14:textId="77777777" w:rsidR="00907D9D" w:rsidRPr="00907D9D" w:rsidRDefault="00907D9D" w:rsidP="00907D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6810AE2" w14:textId="77777777" w:rsidR="00907D9D" w:rsidRPr="00907D9D" w:rsidRDefault="00907D9D" w:rsidP="00907D9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07D9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62087244" w14:textId="77777777" w:rsidR="00907D9D" w:rsidRPr="00907D9D" w:rsidRDefault="00907D9D" w:rsidP="00907D9D">
      <w:pPr>
        <w:numPr>
          <w:ilvl w:val="0"/>
          <w:numId w:val="11"/>
        </w:numPr>
        <w:spacing w:before="0" w:after="0" w:line="0" w:lineRule="atLeast"/>
        <w:rPr>
          <w:rFonts w:asciiTheme="majorHAnsi" w:hAnsiTheme="majorHAnsi"/>
          <w:lang w:val="sl-SI"/>
        </w:rPr>
      </w:pPr>
      <w:r w:rsidRPr="00907D9D">
        <w:rPr>
          <w:rFonts w:asciiTheme="majorHAnsi" w:hAnsiTheme="majorHAnsi"/>
          <w:sz w:val="22"/>
          <w:szCs w:val="22"/>
          <w:lang w:val="sl-SI"/>
        </w:rPr>
        <w:t>13.412.160,00 EUR na letni ravni (ocenjeni skupni prihranki zaradi digitalizacije in optimizacije postopkov)</w:t>
      </w:r>
      <w:r w:rsidRPr="00907D9D">
        <w:rPr>
          <w:rFonts w:asciiTheme="majorHAnsi" w:hAnsiTheme="majorHAnsi"/>
          <w:lang w:val="sl-SI"/>
        </w:rPr>
        <w:br/>
      </w:r>
    </w:p>
    <w:p w14:paraId="24C71C21" w14:textId="77777777" w:rsidR="00907D9D" w:rsidRDefault="00907D9D" w:rsidP="00907D9D">
      <w:pPr>
        <w:spacing w:before="0" w:after="0" w:line="0" w:lineRule="atLeast"/>
        <w:ind w:left="360"/>
        <w:rPr>
          <w:rFonts w:asciiTheme="majorHAnsi" w:eastAsiaTheme="minorEastAsia" w:hAnsiTheme="majorHAnsi"/>
          <w:sz w:val="22"/>
          <w:szCs w:val="22"/>
          <w:lang w:val="sl-SI"/>
        </w:rPr>
      </w:pPr>
    </w:p>
    <w:p w14:paraId="5756623D" w14:textId="77777777" w:rsidR="00907D9D" w:rsidRDefault="00907D9D" w:rsidP="00907D9D">
      <w:pPr>
        <w:spacing w:before="0" w:after="0" w:line="0" w:lineRule="atLeast"/>
        <w:ind w:left="360"/>
        <w:rPr>
          <w:rFonts w:asciiTheme="majorHAnsi" w:eastAsiaTheme="minorEastAsia" w:hAnsiTheme="majorHAnsi"/>
          <w:sz w:val="22"/>
          <w:szCs w:val="22"/>
          <w:lang w:val="sl-SI"/>
        </w:rPr>
      </w:pPr>
    </w:p>
    <w:p w14:paraId="312998CA" w14:textId="77777777" w:rsidR="00907D9D" w:rsidRDefault="00907D9D" w:rsidP="00907D9D">
      <w:pPr>
        <w:spacing w:before="0" w:after="0" w:line="0" w:lineRule="atLeast"/>
        <w:ind w:left="360"/>
        <w:rPr>
          <w:rFonts w:asciiTheme="majorHAnsi" w:eastAsiaTheme="minorEastAsia" w:hAnsiTheme="majorHAnsi"/>
          <w:sz w:val="22"/>
          <w:szCs w:val="22"/>
          <w:lang w:val="sl-SI"/>
        </w:rPr>
      </w:pPr>
    </w:p>
    <w:p w14:paraId="13ADA040" w14:textId="77777777" w:rsidR="00907D9D" w:rsidRDefault="00907D9D" w:rsidP="00907D9D">
      <w:pPr>
        <w:spacing w:before="0" w:after="0" w:line="0" w:lineRule="atLeast"/>
        <w:ind w:left="360"/>
        <w:rPr>
          <w:rFonts w:asciiTheme="majorHAnsi" w:eastAsiaTheme="minorEastAsia" w:hAnsiTheme="majorHAnsi"/>
          <w:sz w:val="22"/>
          <w:szCs w:val="22"/>
          <w:lang w:val="sl-SI"/>
        </w:rPr>
      </w:pPr>
    </w:p>
    <w:p w14:paraId="434E77A4" w14:textId="77777777" w:rsidR="00907D9D" w:rsidRDefault="00907D9D" w:rsidP="00907D9D">
      <w:pPr>
        <w:spacing w:before="0" w:after="0" w:line="0" w:lineRule="atLeast"/>
        <w:ind w:left="360"/>
        <w:rPr>
          <w:rFonts w:asciiTheme="majorHAnsi" w:eastAsiaTheme="minorEastAsia" w:hAnsiTheme="majorHAnsi"/>
          <w:sz w:val="22"/>
          <w:szCs w:val="22"/>
          <w:lang w:val="sl-SI"/>
        </w:rPr>
      </w:pPr>
    </w:p>
    <w:p w14:paraId="1348FA58" w14:textId="77777777" w:rsidR="00907D9D" w:rsidRDefault="00907D9D" w:rsidP="00907D9D">
      <w:pPr>
        <w:spacing w:before="0" w:after="0" w:line="0" w:lineRule="atLeast"/>
        <w:ind w:left="360"/>
        <w:rPr>
          <w:rFonts w:asciiTheme="majorHAnsi" w:eastAsiaTheme="minorEastAsia" w:hAnsiTheme="majorHAnsi"/>
          <w:sz w:val="22"/>
          <w:szCs w:val="22"/>
          <w:lang w:val="sl-SI"/>
        </w:rPr>
      </w:pPr>
    </w:p>
    <w:p w14:paraId="54AB7861" w14:textId="77777777" w:rsidR="00907D9D" w:rsidRDefault="00907D9D" w:rsidP="00907D9D">
      <w:pPr>
        <w:spacing w:before="0" w:after="0" w:line="0" w:lineRule="atLeast"/>
        <w:ind w:left="360"/>
        <w:rPr>
          <w:rFonts w:asciiTheme="majorHAnsi" w:eastAsiaTheme="minorEastAsia" w:hAnsiTheme="majorHAnsi"/>
          <w:sz w:val="22"/>
          <w:szCs w:val="22"/>
          <w:lang w:val="sl-SI"/>
        </w:rPr>
      </w:pPr>
    </w:p>
    <w:p w14:paraId="21F05D48" w14:textId="77777777" w:rsidR="00907D9D" w:rsidRDefault="00907D9D" w:rsidP="00907D9D">
      <w:pPr>
        <w:spacing w:before="0" w:after="0" w:line="0" w:lineRule="atLeast"/>
        <w:ind w:left="360"/>
        <w:rPr>
          <w:rFonts w:asciiTheme="majorHAnsi" w:eastAsiaTheme="minorEastAsia" w:hAnsiTheme="majorHAnsi"/>
          <w:sz w:val="22"/>
          <w:szCs w:val="22"/>
          <w:lang w:val="sl-SI"/>
        </w:rPr>
      </w:pPr>
    </w:p>
    <w:p w14:paraId="6DC2B954" w14:textId="77777777" w:rsidR="00907D9D" w:rsidRDefault="00907D9D" w:rsidP="00907D9D">
      <w:pPr>
        <w:spacing w:before="0" w:after="0" w:line="0" w:lineRule="atLeast"/>
        <w:ind w:left="360"/>
        <w:rPr>
          <w:rFonts w:asciiTheme="majorHAnsi" w:eastAsiaTheme="minorEastAsia" w:hAnsiTheme="majorHAnsi"/>
          <w:sz w:val="22"/>
          <w:szCs w:val="22"/>
          <w:lang w:val="sl-SI"/>
        </w:rPr>
      </w:pPr>
    </w:p>
    <w:p w14:paraId="70EBD166" w14:textId="0FACFB14" w:rsidR="001765E8" w:rsidRPr="00907D9D" w:rsidRDefault="001765E8" w:rsidP="00907D9D">
      <w:pPr>
        <w:spacing w:before="0" w:after="0" w:line="0" w:lineRule="atLeast"/>
        <w:ind w:left="360"/>
        <w:rPr>
          <w:rFonts w:asciiTheme="majorHAnsi" w:hAnsiTheme="majorHAnsi"/>
          <w:lang w:val="sl-SI"/>
        </w:rPr>
      </w:pPr>
      <w:r w:rsidRPr="00907D9D">
        <w:rPr>
          <w:rFonts w:asciiTheme="majorHAnsi" w:hAnsiTheme="majorHAnsi"/>
          <w:lang w:val="sl-SI"/>
        </w:rPr>
        <w:lastRenderedPageBreak/>
        <w:t>TABELA kot slika:</w:t>
      </w:r>
    </w:p>
    <w:p w14:paraId="21CD3177" w14:textId="11E918B3" w:rsidR="001765E8" w:rsidRDefault="00907D9D" w:rsidP="001765E8">
      <w:pPr>
        <w:rPr>
          <w:lang w:val="sl-SI"/>
        </w:rPr>
      </w:pPr>
      <w:r w:rsidRPr="00907D9D">
        <w:rPr>
          <w:noProof/>
        </w:rPr>
        <w:drawing>
          <wp:inline distT="0" distB="0" distL="0" distR="0" wp14:anchorId="63E8C704" wp14:editId="457FE7D8">
            <wp:extent cx="5760720" cy="2107565"/>
            <wp:effectExtent l="0" t="0" r="0" b="6985"/>
            <wp:docPr id="17069664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F5C00" w14:textId="77777777" w:rsidR="001765E8" w:rsidRPr="00F47631" w:rsidRDefault="001765E8" w:rsidP="001765E8">
      <w:pPr>
        <w:rPr>
          <w:b/>
          <w:bCs/>
          <w:lang w:val="sl-SI"/>
        </w:rPr>
      </w:pPr>
      <w:r w:rsidRPr="00F47631">
        <w:rPr>
          <w:b/>
          <w:bCs/>
          <w:lang w:val="sl-SI"/>
        </w:rPr>
        <w:t xml:space="preserve">Opis v ozadju: </w:t>
      </w:r>
    </w:p>
    <w:p w14:paraId="4B44135F" w14:textId="77777777" w:rsidR="00D135AB" w:rsidRPr="00816BAE" w:rsidRDefault="00D135AB" w:rsidP="00D135AB">
      <w:pPr>
        <w:spacing w:before="0" w:after="0"/>
        <w:jc w:val="both"/>
        <w:rPr>
          <w:lang w:val="sl-SI"/>
        </w:rPr>
      </w:pPr>
      <w:r w:rsidRPr="00816BAE">
        <w:rPr>
          <w:lang w:val="sl-SI"/>
        </w:rPr>
        <w:t>Slika prikazuje dve tabeli. Prva tabela prikazuje izračun stroškov na letnem nivoju pred izvedenim ukrepom, druga tabela pa izračun na letnem nivoju po izvedenem ukrepu.</w:t>
      </w:r>
    </w:p>
    <w:p w14:paraId="0DA81123" w14:textId="77777777" w:rsidR="00D135AB" w:rsidRPr="00816BAE" w:rsidRDefault="00D135AB" w:rsidP="00D135AB">
      <w:pPr>
        <w:spacing w:before="0" w:after="0"/>
        <w:jc w:val="both"/>
        <w:rPr>
          <w:lang w:val="sl-SI"/>
        </w:rPr>
      </w:pPr>
    </w:p>
    <w:p w14:paraId="03A6153B" w14:textId="77777777" w:rsidR="00D135AB" w:rsidRPr="00816BAE" w:rsidRDefault="00D135AB" w:rsidP="00D135AB">
      <w:pPr>
        <w:spacing w:before="0" w:after="0"/>
        <w:jc w:val="both"/>
        <w:rPr>
          <w:lang w:val="sl-SI"/>
        </w:rPr>
      </w:pPr>
      <w:r w:rsidRPr="00816BAE">
        <w:rPr>
          <w:lang w:val="sl-SI"/>
        </w:rPr>
        <w:t>V obeh tabelah so opredeljeni deležniki, ki morajo izvesti določene obveznosti oziroma podrobnejše aktivnosti znotraj teh obveznosti. Za vsako aktivnost so določeni naslednji elementi:</w:t>
      </w:r>
    </w:p>
    <w:p w14:paraId="15891DAD" w14:textId="77777777" w:rsidR="00D135AB" w:rsidRPr="00816BAE" w:rsidRDefault="00D135AB" w:rsidP="00D135AB">
      <w:pPr>
        <w:numPr>
          <w:ilvl w:val="0"/>
          <w:numId w:val="12"/>
        </w:numPr>
        <w:spacing w:before="0" w:after="0"/>
        <w:jc w:val="both"/>
        <w:rPr>
          <w:lang w:val="sl-SI"/>
        </w:rPr>
      </w:pPr>
      <w:r w:rsidRPr="00816BAE">
        <w:rPr>
          <w:lang w:val="sl-SI"/>
        </w:rPr>
        <w:t>populacija, ki mora aktivnost izvesti,</w:t>
      </w:r>
    </w:p>
    <w:p w14:paraId="484433E3" w14:textId="77777777" w:rsidR="00D135AB" w:rsidRPr="00816BAE" w:rsidRDefault="00D135AB" w:rsidP="00D135AB">
      <w:pPr>
        <w:numPr>
          <w:ilvl w:val="0"/>
          <w:numId w:val="12"/>
        </w:numPr>
        <w:spacing w:before="0" w:after="0"/>
        <w:jc w:val="both"/>
        <w:rPr>
          <w:lang w:val="sl-SI"/>
        </w:rPr>
      </w:pPr>
      <w:r w:rsidRPr="00816BAE">
        <w:rPr>
          <w:lang w:val="sl-SI"/>
        </w:rPr>
        <w:t>frekvenca izvajanja (kolikokrat na leto je aktivnost potrebna),</w:t>
      </w:r>
    </w:p>
    <w:p w14:paraId="7B877496" w14:textId="77777777" w:rsidR="00D135AB" w:rsidRPr="00816BAE" w:rsidRDefault="00D135AB" w:rsidP="00D135AB">
      <w:pPr>
        <w:numPr>
          <w:ilvl w:val="0"/>
          <w:numId w:val="12"/>
        </w:numPr>
        <w:spacing w:before="0" w:after="0"/>
        <w:jc w:val="both"/>
        <w:rPr>
          <w:lang w:val="sl-SI"/>
        </w:rPr>
      </w:pPr>
      <w:r w:rsidRPr="00816BAE">
        <w:rPr>
          <w:lang w:val="sl-SI"/>
        </w:rPr>
        <w:t>urna postavka, izračunana po Enotni metodologiji merjenja stroškov, ki jih zakonodaja povzroča subjektom (v nadaljevanju EMMS)</w:t>
      </w:r>
      <w:r w:rsidRPr="00816BAE">
        <w:rPr>
          <w:vertAlign w:val="superscript"/>
          <w:lang w:val="sl-SI"/>
        </w:rPr>
        <w:footnoteReference w:customMarkFollows="1" w:id="1"/>
        <w:t>[1]</w:t>
      </w:r>
      <w:r w:rsidRPr="00816BAE">
        <w:rPr>
          <w:lang w:val="sl-SI"/>
        </w:rPr>
        <w:t>,</w:t>
      </w:r>
    </w:p>
    <w:p w14:paraId="169098A1" w14:textId="77777777" w:rsidR="00D135AB" w:rsidRPr="00816BAE" w:rsidRDefault="00D135AB" w:rsidP="00D135AB">
      <w:pPr>
        <w:numPr>
          <w:ilvl w:val="0"/>
          <w:numId w:val="12"/>
        </w:numPr>
        <w:spacing w:before="0" w:after="0"/>
        <w:jc w:val="both"/>
        <w:rPr>
          <w:lang w:val="sl-SI"/>
        </w:rPr>
      </w:pPr>
      <w:r w:rsidRPr="00816BAE">
        <w:rPr>
          <w:lang w:val="sl-SI"/>
        </w:rPr>
        <w:t>čas, potreben za izvedbo aktivnosti,</w:t>
      </w:r>
    </w:p>
    <w:p w14:paraId="443C0EF6" w14:textId="77777777" w:rsidR="00D135AB" w:rsidRPr="00816BAE" w:rsidRDefault="00D135AB" w:rsidP="00D135AB">
      <w:pPr>
        <w:numPr>
          <w:ilvl w:val="0"/>
          <w:numId w:val="12"/>
        </w:numPr>
        <w:spacing w:before="0" w:after="0"/>
        <w:jc w:val="both"/>
        <w:rPr>
          <w:lang w:val="sl-SI"/>
        </w:rPr>
      </w:pPr>
      <w:r w:rsidRPr="00816BAE">
        <w:rPr>
          <w:lang w:val="sl-SI"/>
        </w:rPr>
        <w:t>ter morebitni drugi stroški (npr. takse, stroški papirja ipd.).</w:t>
      </w:r>
    </w:p>
    <w:p w14:paraId="4F16CF3B" w14:textId="77777777" w:rsidR="00D135AB" w:rsidRPr="00816BAE" w:rsidRDefault="00D135AB" w:rsidP="00D135AB">
      <w:pPr>
        <w:spacing w:before="0" w:after="0"/>
        <w:jc w:val="both"/>
        <w:rPr>
          <w:lang w:val="sl-SI"/>
        </w:rPr>
      </w:pPr>
    </w:p>
    <w:p w14:paraId="3918D86F" w14:textId="77777777" w:rsidR="00D135AB" w:rsidRPr="00816BAE" w:rsidRDefault="00D135AB" w:rsidP="00D135AB">
      <w:pPr>
        <w:spacing w:before="0" w:after="0"/>
        <w:jc w:val="both"/>
        <w:rPr>
          <w:lang w:val="sl-SI"/>
        </w:rPr>
      </w:pPr>
      <w:r w:rsidRPr="00816BAE">
        <w:rPr>
          <w:lang w:val="sl-SI"/>
        </w:rPr>
        <w:t>Metodologija EMMS razlikuje med neposrednimi in posrednimi stroški. Neposredni stroški so plačila državi, kot so davki, prispevki ali globe. Posredne stroške pa delimo na:</w:t>
      </w:r>
    </w:p>
    <w:p w14:paraId="0933F78A" w14:textId="77777777" w:rsidR="00D135AB" w:rsidRPr="00816BAE" w:rsidRDefault="00D135AB" w:rsidP="00D135AB">
      <w:pPr>
        <w:pStyle w:val="Odstavekseznama"/>
        <w:numPr>
          <w:ilvl w:val="0"/>
          <w:numId w:val="13"/>
        </w:numPr>
        <w:spacing w:before="0" w:after="0"/>
        <w:jc w:val="both"/>
        <w:rPr>
          <w:lang w:val="sl-SI"/>
        </w:rPr>
      </w:pPr>
      <w:r w:rsidRPr="00816BAE">
        <w:rPr>
          <w:lang w:val="sl-SI"/>
        </w:rPr>
        <w:t>dejanske posredne stroške, ki nastanejo bodisi z nakupom določenega blaga (npr. določena oprema, določen prostor, aparatura ipd.),</w:t>
      </w:r>
      <w:r w:rsidRPr="00816BAE">
        <w:t xml:space="preserve"> </w:t>
      </w:r>
      <w:r w:rsidRPr="00816BAE">
        <w:rPr>
          <w:lang w:val="sl-SI"/>
        </w:rPr>
        <w:t>vzdrževanja opreme in drugih sredstev, ki nastanejo zaradi zahtev zakonodaje oziroma zaradi realizacije ukrepa,</w:t>
      </w:r>
    </w:p>
    <w:p w14:paraId="29AC1B1D" w14:textId="77777777" w:rsidR="00D135AB" w:rsidRPr="00E30FCF" w:rsidRDefault="00D135AB" w:rsidP="00D135AB">
      <w:pPr>
        <w:pStyle w:val="Odstavekseznama"/>
        <w:numPr>
          <w:ilvl w:val="0"/>
          <w:numId w:val="13"/>
        </w:numPr>
        <w:tabs>
          <w:tab w:val="num" w:pos="360"/>
        </w:tabs>
        <w:spacing w:before="0" w:after="0"/>
        <w:jc w:val="both"/>
        <w:rPr>
          <w:lang w:val="sl-SI"/>
        </w:rPr>
      </w:pPr>
      <w:r w:rsidRPr="00816BAE">
        <w:rPr>
          <w:lang w:val="sl-SI"/>
        </w:rPr>
        <w:t>administrativne stroške, povezani z različnimi opravili, kot so priprava podatkov, dokumentacije in komunikacija z organi, pri čemer vključujejo stroške časa (ovrednoten kot strošek dela), porabljenega materiala (npr. kopiranje, poštnina) in zunanjih storitev (npr. svetovalci, certifikati).</w:t>
      </w:r>
    </w:p>
    <w:p w14:paraId="4A98E0EE" w14:textId="77777777" w:rsidR="00D135AB" w:rsidRDefault="00D135AB" w:rsidP="00D135AB">
      <w:pPr>
        <w:pStyle w:val="Oznaenseznam"/>
        <w:numPr>
          <w:ilvl w:val="0"/>
          <w:numId w:val="0"/>
        </w:numPr>
        <w:tabs>
          <w:tab w:val="num" w:pos="360"/>
        </w:tabs>
        <w:rPr>
          <w:sz w:val="20"/>
          <w:szCs w:val="20"/>
          <w:lang w:val="sl-SI"/>
        </w:rPr>
      </w:pPr>
    </w:p>
    <w:p w14:paraId="65F9E98B" w14:textId="10A2F4C1" w:rsidR="00D135AB" w:rsidRDefault="00D135AB" w:rsidP="00D135AB">
      <w:pPr>
        <w:pStyle w:val="Oznaenseznam"/>
        <w:numPr>
          <w:ilvl w:val="0"/>
          <w:numId w:val="0"/>
        </w:numPr>
        <w:jc w:val="both"/>
        <w:rPr>
          <w:sz w:val="20"/>
          <w:szCs w:val="20"/>
          <w:lang w:val="sl-SI"/>
        </w:rPr>
      </w:pPr>
      <w:r w:rsidRPr="00E30FCF">
        <w:rPr>
          <w:sz w:val="20"/>
          <w:szCs w:val="20"/>
          <w:lang w:val="sl-SI"/>
        </w:rPr>
        <w:t xml:space="preserve">Ključne izboljšave po uvedbi </w:t>
      </w:r>
      <w:r w:rsidR="00944A33">
        <w:rPr>
          <w:sz w:val="20"/>
          <w:szCs w:val="20"/>
          <w:lang w:val="sl-SI"/>
        </w:rPr>
        <w:t>e</w:t>
      </w:r>
      <w:r w:rsidR="00944A33" w:rsidRPr="00944A33">
        <w:rPr>
          <w:sz w:val="20"/>
          <w:szCs w:val="20"/>
          <w:lang w:val="sl-SI"/>
        </w:rPr>
        <w:t>lektronsk</w:t>
      </w:r>
      <w:r w:rsidR="00944A33">
        <w:rPr>
          <w:sz w:val="20"/>
          <w:szCs w:val="20"/>
          <w:lang w:val="sl-SI"/>
        </w:rPr>
        <w:t>ih</w:t>
      </w:r>
      <w:r w:rsidR="00944A33" w:rsidRPr="00944A33">
        <w:rPr>
          <w:sz w:val="20"/>
          <w:szCs w:val="20"/>
          <w:lang w:val="sl-SI"/>
        </w:rPr>
        <w:t xml:space="preserve"> storitve za državljane (e-Uprava3)</w:t>
      </w:r>
      <w:r w:rsidRPr="00E30FCF">
        <w:rPr>
          <w:sz w:val="20"/>
          <w:szCs w:val="20"/>
          <w:lang w:val="sl-SI"/>
        </w:rPr>
        <w:t xml:space="preserve"> so bile zaznane pri </w:t>
      </w:r>
      <w:r w:rsidR="00944A33">
        <w:rPr>
          <w:sz w:val="20"/>
          <w:szCs w:val="20"/>
          <w:lang w:val="sl-SI"/>
        </w:rPr>
        <w:t>različnih skupinah državljanov, odvisno od tega katero storitev so pre</w:t>
      </w:r>
      <w:r w:rsidR="002D4CBB">
        <w:rPr>
          <w:sz w:val="20"/>
          <w:szCs w:val="20"/>
          <w:lang w:val="sl-SI"/>
        </w:rPr>
        <w:t>d</w:t>
      </w:r>
      <w:r w:rsidR="00944A33">
        <w:rPr>
          <w:sz w:val="20"/>
          <w:szCs w:val="20"/>
          <w:lang w:val="sl-SI"/>
        </w:rPr>
        <w:t xml:space="preserve"> uvedbo ukrepa potrebovali</w:t>
      </w:r>
      <w:r w:rsidRPr="00E30FCF">
        <w:rPr>
          <w:sz w:val="20"/>
          <w:szCs w:val="20"/>
          <w:lang w:val="sl-SI"/>
        </w:rPr>
        <w:t>.</w:t>
      </w:r>
    </w:p>
    <w:p w14:paraId="429CD255" w14:textId="77777777" w:rsidR="00516F32" w:rsidRPr="00E30FCF" w:rsidRDefault="00516F32" w:rsidP="00D135AB">
      <w:pPr>
        <w:pStyle w:val="Oznaenseznam"/>
        <w:numPr>
          <w:ilvl w:val="0"/>
          <w:numId w:val="0"/>
        </w:numPr>
        <w:jc w:val="both"/>
        <w:rPr>
          <w:sz w:val="20"/>
          <w:szCs w:val="20"/>
          <w:lang w:val="sl-SI"/>
        </w:rPr>
      </w:pPr>
    </w:p>
    <w:p w14:paraId="12CB27E3" w14:textId="1C6C28EF" w:rsidR="00516F32" w:rsidRPr="008B4684" w:rsidRDefault="00516F32" w:rsidP="00516F32">
      <w:pPr>
        <w:pStyle w:val="Oznaenseznam"/>
        <w:numPr>
          <w:ilvl w:val="0"/>
          <w:numId w:val="0"/>
        </w:numPr>
        <w:jc w:val="both"/>
        <w:rPr>
          <w:sz w:val="20"/>
          <w:szCs w:val="20"/>
          <w:lang w:val="sl-SI"/>
        </w:rPr>
      </w:pPr>
      <w:r w:rsidRPr="008B4684">
        <w:rPr>
          <w:sz w:val="20"/>
          <w:szCs w:val="20"/>
          <w:lang w:val="sl-SI"/>
        </w:rPr>
        <w:t>Državljani so prihranili čas in stroške, povezane z oddajanjem vlog, prevzemanjem pošiljk ter vpogledom v osebne podatke. Pri oddajanju vlog se je potreben čas skrajšal z 2 ur na 2 minuti, stroški, povezani z oddajo vlog na pošti ali pri organih, pa so bili odpravljeni. Priporočenih pisem ni več treba sprejemati oziroma prevzemati na domu ali pošti, saj se pošta posreduje prek e</w:t>
      </w:r>
      <w:r w:rsidRPr="008B4684">
        <w:rPr>
          <w:sz w:val="20"/>
          <w:szCs w:val="20"/>
          <w:lang w:val="sl-SI"/>
        </w:rPr>
        <w:noBreakHyphen/>
        <w:t>vročanja. Prav tako se je čas, potreben za vpogled v osebne podatke, skrajšal z 2 ur na 2 minuti, hkrati pa so se odpravili tudi stroški, povezani z oddajo vlog na pošti ali pri organih.</w:t>
      </w:r>
    </w:p>
    <w:p w14:paraId="3F816698" w14:textId="77777777" w:rsidR="00D135AB" w:rsidRPr="008B4684" w:rsidRDefault="00D135AB" w:rsidP="00D135AB">
      <w:pPr>
        <w:pStyle w:val="Oznaenseznam"/>
        <w:numPr>
          <w:ilvl w:val="0"/>
          <w:numId w:val="0"/>
        </w:numPr>
        <w:rPr>
          <w:sz w:val="20"/>
          <w:szCs w:val="20"/>
          <w:lang w:val="sl-SI"/>
        </w:rPr>
      </w:pPr>
    </w:p>
    <w:p w14:paraId="33286612" w14:textId="0E76E7CD" w:rsidR="00516F32" w:rsidRPr="00516F32" w:rsidRDefault="008B4684" w:rsidP="008B4684">
      <w:pPr>
        <w:pStyle w:val="Oznaenseznam"/>
        <w:numPr>
          <w:ilvl w:val="0"/>
          <w:numId w:val="0"/>
        </w:numPr>
        <w:jc w:val="both"/>
        <w:rPr>
          <w:sz w:val="20"/>
          <w:szCs w:val="20"/>
          <w:lang w:val="sl-SI"/>
        </w:rPr>
      </w:pPr>
      <w:r w:rsidRPr="008B4684">
        <w:rPr>
          <w:sz w:val="20"/>
          <w:szCs w:val="20"/>
          <w:lang w:val="sl-SI"/>
        </w:rPr>
        <w:lastRenderedPageBreak/>
        <w:t>Izračunani administrativni stroški pred izvedbo ukrepa so na letni ravni znašali 16.656.000,00 EUR, po izvedbi pa 3.243.840,00 EUR. Zaradi uvedbe elektronskih storitev za državljane (e</w:t>
      </w:r>
      <w:r w:rsidRPr="008B4684">
        <w:rPr>
          <w:sz w:val="20"/>
          <w:szCs w:val="20"/>
          <w:lang w:val="sl-SI"/>
        </w:rPr>
        <w:noBreakHyphen/>
        <w:t>Uprava3) je prihranek znašal 13.412.160,00 EUR, kar skupaj predstavlja dobrih 80 % zmanjšanje stroškov na letni ravni.</w:t>
      </w:r>
    </w:p>
    <w:sectPr w:rsidR="00516F32" w:rsidRPr="00516F32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26D0" w14:textId="77777777" w:rsidR="000D4183" w:rsidRDefault="000D4183" w:rsidP="00AD3F42">
      <w:pPr>
        <w:spacing w:before="0" w:after="0" w:line="240" w:lineRule="auto"/>
      </w:pPr>
      <w:r>
        <w:separator/>
      </w:r>
    </w:p>
  </w:endnote>
  <w:endnote w:type="continuationSeparator" w:id="0">
    <w:p w14:paraId="1B1A7851" w14:textId="77777777" w:rsidR="000D4183" w:rsidRDefault="000D4183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A310" w14:textId="77777777" w:rsidR="000D4183" w:rsidRDefault="000D4183" w:rsidP="00AD3F42">
      <w:pPr>
        <w:spacing w:before="0" w:after="0" w:line="240" w:lineRule="auto"/>
      </w:pPr>
      <w:r>
        <w:separator/>
      </w:r>
    </w:p>
  </w:footnote>
  <w:footnote w:type="continuationSeparator" w:id="0">
    <w:p w14:paraId="30CD1DEA" w14:textId="77777777" w:rsidR="000D4183" w:rsidRDefault="000D4183" w:rsidP="00AD3F42">
      <w:pPr>
        <w:spacing w:before="0" w:after="0" w:line="240" w:lineRule="auto"/>
      </w:pPr>
      <w:r>
        <w:continuationSeparator/>
      </w:r>
    </w:p>
  </w:footnote>
  <w:footnote w:id="1">
    <w:p w14:paraId="34995BD9" w14:textId="77777777" w:rsidR="00D135AB" w:rsidRDefault="00D135AB" w:rsidP="00D135AB">
      <w:pPr>
        <w:pStyle w:val="Sprotnaopomba-besedilo"/>
        <w:rPr>
          <w:rFonts w:ascii="Arial" w:hAnsi="Arial" w:cs="Arial"/>
          <w:lang w:eastAsia="sl-SI"/>
        </w:rPr>
      </w:pPr>
      <w:r>
        <w:rPr>
          <w:rStyle w:val="Sprotnaopomba-sklic"/>
        </w:rPr>
        <w:t>[1]</w:t>
      </w:r>
      <w:r>
        <w:t xml:space="preserve"> </w:t>
      </w:r>
      <w:r>
        <w:rPr>
          <w:rStyle w:val="Hiperpovezava"/>
          <w:sz w:val="18"/>
          <w:szCs w:val="18"/>
          <w:lang w:eastAsia="ar-SA"/>
        </w:rPr>
        <w:t>http://www.stopbirokraciji.si/fileadmin/user_upload/mju/Boljsi_predpisi/Publikacije/EMMS4112013_1.pdf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46013"/>
    <w:multiLevelType w:val="multilevel"/>
    <w:tmpl w:val="FDB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924FC"/>
    <w:multiLevelType w:val="multilevel"/>
    <w:tmpl w:val="2F2C0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93182"/>
    <w:multiLevelType w:val="multilevel"/>
    <w:tmpl w:val="2CDE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F73E4"/>
    <w:multiLevelType w:val="multilevel"/>
    <w:tmpl w:val="7ABC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45B65"/>
    <w:multiLevelType w:val="multilevel"/>
    <w:tmpl w:val="18B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33069"/>
    <w:multiLevelType w:val="hybridMultilevel"/>
    <w:tmpl w:val="A53EEAFA"/>
    <w:lvl w:ilvl="0" w:tplc="2B245DD8">
      <w:numFmt w:val="bullet"/>
      <w:lvlText w:val="-"/>
      <w:lvlJc w:val="left"/>
      <w:pPr>
        <w:ind w:left="720" w:hanging="360"/>
      </w:pPr>
      <w:rPr>
        <w:rFonts w:ascii="Aptos" w:eastAsiaTheme="minorHAnsi" w:hAnsi="Aptos" w:cs="Aptos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3E12"/>
    <w:multiLevelType w:val="multilevel"/>
    <w:tmpl w:val="054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025A0"/>
    <w:multiLevelType w:val="multilevel"/>
    <w:tmpl w:val="2D8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D53E1"/>
    <w:multiLevelType w:val="multilevel"/>
    <w:tmpl w:val="6990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70E0C"/>
    <w:multiLevelType w:val="hybridMultilevel"/>
    <w:tmpl w:val="31340E90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 w15:restartNumberingAfterBreak="0">
    <w:nsid w:val="6DFD4B56"/>
    <w:multiLevelType w:val="multilevel"/>
    <w:tmpl w:val="C68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C54BD"/>
    <w:multiLevelType w:val="multilevel"/>
    <w:tmpl w:val="26A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401521">
    <w:abstractNumId w:val="4"/>
  </w:num>
  <w:num w:numId="2" w16cid:durableId="533077018">
    <w:abstractNumId w:val="11"/>
  </w:num>
  <w:num w:numId="3" w16cid:durableId="616258738">
    <w:abstractNumId w:val="7"/>
  </w:num>
  <w:num w:numId="4" w16cid:durableId="493955492">
    <w:abstractNumId w:val="12"/>
  </w:num>
  <w:num w:numId="5" w16cid:durableId="1028604632">
    <w:abstractNumId w:val="6"/>
  </w:num>
  <w:num w:numId="6" w16cid:durableId="637421463">
    <w:abstractNumId w:val="0"/>
  </w:num>
  <w:num w:numId="7" w16cid:durableId="2076968894">
    <w:abstractNumId w:val="2"/>
  </w:num>
  <w:num w:numId="8" w16cid:durableId="1498812408">
    <w:abstractNumId w:val="3"/>
  </w:num>
  <w:num w:numId="9" w16cid:durableId="182405440">
    <w:abstractNumId w:val="8"/>
  </w:num>
  <w:num w:numId="10" w16cid:durableId="1980111807">
    <w:abstractNumId w:val="9"/>
  </w:num>
  <w:num w:numId="11" w16cid:durableId="887032212">
    <w:abstractNumId w:val="5"/>
  </w:num>
  <w:num w:numId="12" w16cid:durableId="762989735">
    <w:abstractNumId w:val="1"/>
  </w:num>
  <w:num w:numId="13" w16cid:durableId="115873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6B16"/>
    <w:rsid w:val="0008253E"/>
    <w:rsid w:val="000D4183"/>
    <w:rsid w:val="00105A25"/>
    <w:rsid w:val="001444CC"/>
    <w:rsid w:val="001765E8"/>
    <w:rsid w:val="001A7F71"/>
    <w:rsid w:val="001D577A"/>
    <w:rsid w:val="002157C2"/>
    <w:rsid w:val="00240CEA"/>
    <w:rsid w:val="00287D7F"/>
    <w:rsid w:val="002B09E6"/>
    <w:rsid w:val="002D4CBB"/>
    <w:rsid w:val="0031593A"/>
    <w:rsid w:val="003923B0"/>
    <w:rsid w:val="0039537C"/>
    <w:rsid w:val="003C4CC5"/>
    <w:rsid w:val="003C673A"/>
    <w:rsid w:val="0040309F"/>
    <w:rsid w:val="0044669A"/>
    <w:rsid w:val="00455BAB"/>
    <w:rsid w:val="004F3A2D"/>
    <w:rsid w:val="005101E3"/>
    <w:rsid w:val="00516F32"/>
    <w:rsid w:val="00551916"/>
    <w:rsid w:val="006301BD"/>
    <w:rsid w:val="0063162F"/>
    <w:rsid w:val="00633534"/>
    <w:rsid w:val="00641428"/>
    <w:rsid w:val="00656187"/>
    <w:rsid w:val="00656FD1"/>
    <w:rsid w:val="006836EE"/>
    <w:rsid w:val="00697D3B"/>
    <w:rsid w:val="007D17A4"/>
    <w:rsid w:val="007D1F42"/>
    <w:rsid w:val="0083597D"/>
    <w:rsid w:val="00855687"/>
    <w:rsid w:val="0089763A"/>
    <w:rsid w:val="008B4684"/>
    <w:rsid w:val="008D6235"/>
    <w:rsid w:val="00907D9D"/>
    <w:rsid w:val="009101CE"/>
    <w:rsid w:val="00944A33"/>
    <w:rsid w:val="00991150"/>
    <w:rsid w:val="009B3E03"/>
    <w:rsid w:val="009D493F"/>
    <w:rsid w:val="009E3DC3"/>
    <w:rsid w:val="00A21034"/>
    <w:rsid w:val="00A232BF"/>
    <w:rsid w:val="00AC54D8"/>
    <w:rsid w:val="00AD10CE"/>
    <w:rsid w:val="00AD3F42"/>
    <w:rsid w:val="00B00B0B"/>
    <w:rsid w:val="00B04CB0"/>
    <w:rsid w:val="00B2735E"/>
    <w:rsid w:val="00C40D71"/>
    <w:rsid w:val="00C71A58"/>
    <w:rsid w:val="00D135AB"/>
    <w:rsid w:val="00D1706A"/>
    <w:rsid w:val="00D259A9"/>
    <w:rsid w:val="00D85BDB"/>
    <w:rsid w:val="00DA1468"/>
    <w:rsid w:val="00DB2DA0"/>
    <w:rsid w:val="00DD7BF4"/>
    <w:rsid w:val="00DE3414"/>
    <w:rsid w:val="00E029A0"/>
    <w:rsid w:val="00E13044"/>
    <w:rsid w:val="00E13ADD"/>
    <w:rsid w:val="00E15D74"/>
    <w:rsid w:val="00E34F12"/>
    <w:rsid w:val="00E47FE0"/>
    <w:rsid w:val="00E74C35"/>
    <w:rsid w:val="00E91855"/>
    <w:rsid w:val="00F24617"/>
    <w:rsid w:val="00F47631"/>
    <w:rsid w:val="00F80C01"/>
    <w:rsid w:val="00FB52D4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6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135AB"/>
    <w:pPr>
      <w:spacing w:before="0"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135AB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D135AB"/>
    <w:rPr>
      <w:color w:val="467886"/>
      <w:u w:val="single"/>
    </w:rPr>
  </w:style>
  <w:style w:type="character" w:styleId="Sprotnaopomba-sklic">
    <w:name w:val="footnote reference"/>
    <w:aliases w:val="Footnote number,-E Fußnotenzeichen"/>
    <w:basedOn w:val="Privzetapisavaodstavka"/>
    <w:uiPriority w:val="99"/>
    <w:semiHidden/>
    <w:unhideWhenUsed/>
    <w:rsid w:val="00D13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6</cp:revision>
  <cp:lastPrinted>2026-05-05T06:22:00Z</cp:lastPrinted>
  <dcterms:created xsi:type="dcterms:W3CDTF">2026-06-17T05:57:00Z</dcterms:created>
  <dcterms:modified xsi:type="dcterms:W3CDTF">2026-06-17T06:22:00Z</dcterms:modified>
</cp:coreProperties>
</file>