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B51E1" w14:textId="45F96B34" w:rsidR="003923B0" w:rsidRPr="00566F15" w:rsidRDefault="00AD3F42" w:rsidP="003923B0">
      <w:pPr>
        <w:spacing w:before="0" w:after="0" w:line="0" w:lineRule="atLeast"/>
        <w:rPr>
          <w:rFonts w:ascii="Book Antiqua" w:hAnsi="Book Antiqua"/>
          <w:sz w:val="22"/>
          <w:szCs w:val="22"/>
          <w:lang w:val="sl-SI"/>
        </w:rPr>
      </w:pPr>
      <w:r w:rsidRPr="003A7BFB">
        <w:rPr>
          <w:rFonts w:cs="Arial"/>
          <w:b/>
          <w:noProof/>
          <w:u w:val="single"/>
          <w:lang w:eastAsia="sl-SI"/>
        </w:rPr>
        <w:drawing>
          <wp:anchor distT="0" distB="0" distL="114300" distR="114300" simplePos="0" relativeHeight="251660288" behindDoc="1" locked="0" layoutInCell="1" allowOverlap="1" wp14:anchorId="59861861" wp14:editId="71EFBEDD">
            <wp:simplePos x="0" y="0"/>
            <wp:positionH relativeFrom="column">
              <wp:posOffset>-335915</wp:posOffset>
            </wp:positionH>
            <wp:positionV relativeFrom="paragraph">
              <wp:posOffset>-244474</wp:posOffset>
            </wp:positionV>
            <wp:extent cx="1919605" cy="800100"/>
            <wp:effectExtent l="0" t="0" r="4445" b="0"/>
            <wp:wrapNone/>
            <wp:docPr id="4" name="Slika 4" descr="~1097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9710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19605" cy="800100"/>
                    </a:xfrm>
                    <a:prstGeom prst="rect">
                      <a:avLst/>
                    </a:prstGeom>
                    <a:noFill/>
                    <a:ln>
                      <a:noFill/>
                    </a:ln>
                    <a:effectLst/>
                  </pic:spPr>
                </pic:pic>
              </a:graphicData>
            </a:graphic>
            <wp14:sizeRelV relativeFrom="margin">
              <wp14:pctHeight>0</wp14:pctHeight>
            </wp14:sizeRelV>
          </wp:anchor>
        </w:drawing>
      </w:r>
    </w:p>
    <w:p w14:paraId="0909F55F" w14:textId="77777777" w:rsidR="00AD3F42" w:rsidRDefault="00AD3F42" w:rsidP="003923B0">
      <w:pPr>
        <w:spacing w:before="0" w:after="0" w:line="0" w:lineRule="atLeast"/>
        <w:rPr>
          <w:rFonts w:ascii="Book Antiqua" w:hAnsi="Book Antiqua"/>
          <w:sz w:val="22"/>
          <w:szCs w:val="22"/>
          <w:u w:val="single"/>
          <w:lang w:val="sl-SI"/>
        </w:rPr>
      </w:pPr>
    </w:p>
    <w:p w14:paraId="2F1143A3" w14:textId="77777777" w:rsidR="00AD3F42" w:rsidRDefault="00AD3F42" w:rsidP="003923B0">
      <w:pPr>
        <w:spacing w:before="0" w:after="0" w:line="0" w:lineRule="atLeast"/>
        <w:rPr>
          <w:rFonts w:ascii="Book Antiqua" w:hAnsi="Book Antiqua"/>
          <w:sz w:val="22"/>
          <w:szCs w:val="22"/>
          <w:u w:val="single"/>
          <w:lang w:val="sl-SI"/>
        </w:rPr>
      </w:pPr>
    </w:p>
    <w:p w14:paraId="6CA1E025" w14:textId="135CCB19" w:rsidR="00AD3F42" w:rsidRPr="003A7BFB" w:rsidRDefault="00AD3F42" w:rsidP="00AD3F42">
      <w:pPr>
        <w:tabs>
          <w:tab w:val="left" w:pos="283"/>
        </w:tabs>
        <w:autoSpaceDE w:val="0"/>
        <w:autoSpaceDN w:val="0"/>
        <w:adjustRightInd w:val="0"/>
        <w:jc w:val="center"/>
        <w:textAlignment w:val="center"/>
        <w:rPr>
          <w:rFonts w:cs="Arial"/>
          <w:b/>
          <w:u w:val="single"/>
          <w:lang w:eastAsia="sl-SI"/>
        </w:rPr>
      </w:pPr>
    </w:p>
    <w:p w14:paraId="1920EB92" w14:textId="77777777" w:rsidR="00AD3F42" w:rsidRPr="003A7BFB" w:rsidRDefault="00AD3F42" w:rsidP="00AD3F42">
      <w:pPr>
        <w:tabs>
          <w:tab w:val="left" w:pos="283"/>
        </w:tabs>
        <w:autoSpaceDE w:val="0"/>
        <w:autoSpaceDN w:val="0"/>
        <w:adjustRightInd w:val="0"/>
        <w:jc w:val="center"/>
        <w:textAlignment w:val="center"/>
        <w:rPr>
          <w:rFonts w:cs="Arial"/>
          <w:b/>
          <w:u w:val="single"/>
          <w:lang w:eastAsia="sl-SI"/>
        </w:rPr>
      </w:pPr>
    </w:p>
    <w:p w14:paraId="1EFA0AE5" w14:textId="77777777" w:rsidR="00AD3F42" w:rsidRPr="003A7BFB" w:rsidRDefault="00AD3F42" w:rsidP="00AD3F42">
      <w:pPr>
        <w:tabs>
          <w:tab w:val="left" w:pos="283"/>
          <w:tab w:val="left" w:pos="1170"/>
        </w:tabs>
        <w:autoSpaceDE w:val="0"/>
        <w:autoSpaceDN w:val="0"/>
        <w:adjustRightInd w:val="0"/>
        <w:textAlignment w:val="center"/>
        <w:rPr>
          <w:rFonts w:cs="Arial"/>
          <w:b/>
          <w:u w:val="single"/>
          <w:lang w:eastAsia="sl-SI"/>
        </w:rPr>
      </w:pPr>
    </w:p>
    <w:p w14:paraId="6D369E45" w14:textId="77777777" w:rsidR="00AD3F42" w:rsidRPr="003A7BFB" w:rsidRDefault="00AD3F42" w:rsidP="00AD3F42">
      <w:pPr>
        <w:tabs>
          <w:tab w:val="left" w:pos="283"/>
        </w:tabs>
        <w:autoSpaceDE w:val="0"/>
        <w:autoSpaceDN w:val="0"/>
        <w:adjustRightInd w:val="0"/>
        <w:textAlignment w:val="center"/>
        <w:rPr>
          <w:rFonts w:cs="Arial"/>
          <w:b/>
          <w:u w:val="single"/>
          <w:lang w:eastAsia="sl-SI"/>
        </w:rPr>
      </w:pPr>
    </w:p>
    <w:p w14:paraId="63629EFF" w14:textId="77777777" w:rsidR="00AD3F42" w:rsidRPr="003A7BFB" w:rsidRDefault="00AD3F42" w:rsidP="00AD3F42">
      <w:pPr>
        <w:tabs>
          <w:tab w:val="left" w:pos="283"/>
        </w:tabs>
        <w:autoSpaceDE w:val="0"/>
        <w:autoSpaceDN w:val="0"/>
        <w:adjustRightInd w:val="0"/>
        <w:jc w:val="center"/>
        <w:textAlignment w:val="center"/>
        <w:rPr>
          <w:rFonts w:cs="Arial"/>
          <w:b/>
          <w:u w:val="single"/>
          <w:lang w:eastAsia="sl-SI"/>
        </w:rPr>
      </w:pPr>
    </w:p>
    <w:p w14:paraId="4C75DD18" w14:textId="448A9401" w:rsidR="00AD3F42" w:rsidRPr="007D17A4" w:rsidRDefault="007D17A4" w:rsidP="00AD3F42">
      <w:pPr>
        <w:jc w:val="center"/>
        <w:rPr>
          <w:rFonts w:cs="Arial"/>
          <w:sz w:val="32"/>
          <w:szCs w:val="32"/>
          <w:lang w:val="sl-SI"/>
        </w:rPr>
      </w:pPr>
      <w:r w:rsidRPr="00DD7BF4">
        <w:rPr>
          <w:rFonts w:cs="Arial"/>
          <w:sz w:val="32"/>
          <w:szCs w:val="32"/>
        </w:rPr>
        <w:t xml:space="preserve">Ministrstvo za </w:t>
      </w:r>
      <w:r w:rsidR="00DD7BF4" w:rsidRPr="00DD7BF4">
        <w:rPr>
          <w:rFonts w:cs="Arial"/>
          <w:sz w:val="32"/>
          <w:szCs w:val="32"/>
          <w:lang w:val="sl-SI"/>
        </w:rPr>
        <w:t>javno upravo</w:t>
      </w:r>
    </w:p>
    <w:p w14:paraId="60AFADEB" w14:textId="77777777" w:rsidR="00AD3F42" w:rsidRPr="003A7BFB" w:rsidRDefault="00AD3F42" w:rsidP="00AD3F42">
      <w:pPr>
        <w:jc w:val="center"/>
        <w:rPr>
          <w:rFonts w:cs="Arial"/>
          <w:sz w:val="32"/>
          <w:szCs w:val="32"/>
        </w:rPr>
      </w:pPr>
    </w:p>
    <w:p w14:paraId="4EB00628" w14:textId="77777777" w:rsidR="00AD3F42" w:rsidRPr="003A7BFB" w:rsidRDefault="00AD3F42" w:rsidP="00AD3F42">
      <w:pPr>
        <w:jc w:val="center"/>
        <w:rPr>
          <w:rFonts w:cs="Arial"/>
          <w:sz w:val="32"/>
          <w:szCs w:val="32"/>
        </w:rPr>
      </w:pPr>
      <w:r w:rsidRPr="003A7BFB">
        <w:rPr>
          <w:rFonts w:cs="Arial"/>
          <w:sz w:val="32"/>
          <w:szCs w:val="32"/>
        </w:rPr>
        <w:t>EVALVACIJA UKREPA IZ ENOTNE ZBIRKE UKREPOV</w:t>
      </w:r>
    </w:p>
    <w:p w14:paraId="51E91B0D" w14:textId="77777777" w:rsidR="00AD3F42" w:rsidRPr="003A7BFB" w:rsidRDefault="00AD3F42" w:rsidP="00AD3F42">
      <w:pPr>
        <w:rPr>
          <w:rFonts w:cs="Arial"/>
          <w:sz w:val="32"/>
          <w:szCs w:val="32"/>
        </w:rPr>
      </w:pPr>
    </w:p>
    <w:p w14:paraId="76BF987D" w14:textId="77777777" w:rsidR="00AD3F42" w:rsidRPr="003A7BFB" w:rsidRDefault="00AD3F42" w:rsidP="00AD3F42">
      <w:pPr>
        <w:rPr>
          <w:rFonts w:cs="Arial"/>
          <w:sz w:val="32"/>
          <w:szCs w:val="32"/>
        </w:rPr>
      </w:pPr>
    </w:p>
    <w:p w14:paraId="3B2715B8" w14:textId="3A329094" w:rsidR="00DF108C" w:rsidRDefault="00EF2787" w:rsidP="00EF2787">
      <w:pPr>
        <w:tabs>
          <w:tab w:val="left" w:pos="283"/>
        </w:tabs>
        <w:autoSpaceDE w:val="0"/>
        <w:autoSpaceDN w:val="0"/>
        <w:adjustRightInd w:val="0"/>
        <w:jc w:val="center"/>
        <w:textAlignment w:val="center"/>
        <w:rPr>
          <w:rFonts w:cs="Arial"/>
          <w:color w:val="000000"/>
          <w:szCs w:val="22"/>
          <w:lang w:val="sl-SI" w:eastAsia="sl-SI"/>
        </w:rPr>
      </w:pPr>
      <w:r w:rsidRPr="00EF2787">
        <w:rPr>
          <w:rFonts w:cs="Aptos Narrow"/>
          <w:b/>
          <w:color w:val="000000"/>
          <w:sz w:val="36"/>
          <w:szCs w:val="36"/>
          <w:lang w:val="sl-SI"/>
          <w14:ligatures w14:val="standardContextual"/>
        </w:rPr>
        <w:t>Prenova strategije prostorskega razvoja (SPRS)</w:t>
      </w:r>
    </w:p>
    <w:p w14:paraId="166D65D3" w14:textId="77777777" w:rsidR="005D7D0B" w:rsidRDefault="005D7D0B" w:rsidP="00AD3F42">
      <w:pPr>
        <w:tabs>
          <w:tab w:val="left" w:pos="283"/>
        </w:tabs>
        <w:autoSpaceDE w:val="0"/>
        <w:autoSpaceDN w:val="0"/>
        <w:adjustRightInd w:val="0"/>
        <w:jc w:val="both"/>
        <w:textAlignment w:val="center"/>
        <w:rPr>
          <w:rFonts w:cs="Arial"/>
          <w:color w:val="000000"/>
          <w:szCs w:val="22"/>
          <w:lang w:val="sl-SI" w:eastAsia="sl-SI"/>
        </w:rPr>
      </w:pPr>
    </w:p>
    <w:p w14:paraId="278CD519" w14:textId="77777777" w:rsidR="007D1625" w:rsidRDefault="007D1625" w:rsidP="00AD3F42">
      <w:pPr>
        <w:tabs>
          <w:tab w:val="left" w:pos="283"/>
        </w:tabs>
        <w:autoSpaceDE w:val="0"/>
        <w:autoSpaceDN w:val="0"/>
        <w:adjustRightInd w:val="0"/>
        <w:jc w:val="both"/>
        <w:textAlignment w:val="center"/>
        <w:rPr>
          <w:rFonts w:cs="Arial"/>
          <w:color w:val="000000"/>
          <w:szCs w:val="22"/>
          <w:lang w:val="sl-SI" w:eastAsia="sl-SI"/>
        </w:rPr>
      </w:pPr>
    </w:p>
    <w:p w14:paraId="57FAABA6" w14:textId="77777777" w:rsidR="007D1625" w:rsidRDefault="007D1625" w:rsidP="00AD3F42">
      <w:pPr>
        <w:tabs>
          <w:tab w:val="left" w:pos="283"/>
        </w:tabs>
        <w:autoSpaceDE w:val="0"/>
        <w:autoSpaceDN w:val="0"/>
        <w:adjustRightInd w:val="0"/>
        <w:jc w:val="both"/>
        <w:textAlignment w:val="center"/>
        <w:rPr>
          <w:rFonts w:cs="Arial"/>
          <w:color w:val="000000"/>
          <w:szCs w:val="22"/>
          <w:lang w:val="sl-SI" w:eastAsia="sl-SI"/>
        </w:rPr>
      </w:pPr>
    </w:p>
    <w:p w14:paraId="3AE44684" w14:textId="77777777" w:rsidR="008551BD" w:rsidRDefault="008551BD" w:rsidP="00AD3F42">
      <w:pPr>
        <w:tabs>
          <w:tab w:val="left" w:pos="283"/>
        </w:tabs>
        <w:autoSpaceDE w:val="0"/>
        <w:autoSpaceDN w:val="0"/>
        <w:adjustRightInd w:val="0"/>
        <w:jc w:val="both"/>
        <w:textAlignment w:val="center"/>
        <w:rPr>
          <w:rFonts w:cs="Arial"/>
          <w:color w:val="000000"/>
          <w:szCs w:val="22"/>
          <w:lang w:val="sl-SI" w:eastAsia="sl-SI"/>
        </w:rPr>
      </w:pPr>
    </w:p>
    <w:p w14:paraId="1CB1AC19" w14:textId="77777777" w:rsidR="00EF2787" w:rsidRDefault="00EF2787" w:rsidP="00AD3F42">
      <w:pPr>
        <w:tabs>
          <w:tab w:val="left" w:pos="283"/>
        </w:tabs>
        <w:autoSpaceDE w:val="0"/>
        <w:autoSpaceDN w:val="0"/>
        <w:adjustRightInd w:val="0"/>
        <w:jc w:val="both"/>
        <w:textAlignment w:val="center"/>
        <w:rPr>
          <w:rFonts w:cs="Arial"/>
          <w:color w:val="000000"/>
          <w:szCs w:val="22"/>
          <w:lang w:val="sl-SI" w:eastAsia="sl-SI"/>
        </w:rPr>
      </w:pPr>
    </w:p>
    <w:p w14:paraId="6D381F6E" w14:textId="77777777" w:rsidR="00EF2787" w:rsidRDefault="00EF2787" w:rsidP="00AD3F42">
      <w:pPr>
        <w:tabs>
          <w:tab w:val="left" w:pos="283"/>
        </w:tabs>
        <w:autoSpaceDE w:val="0"/>
        <w:autoSpaceDN w:val="0"/>
        <w:adjustRightInd w:val="0"/>
        <w:jc w:val="both"/>
        <w:textAlignment w:val="center"/>
        <w:rPr>
          <w:rFonts w:cs="Arial"/>
          <w:color w:val="000000"/>
          <w:szCs w:val="22"/>
          <w:lang w:val="sl-SI" w:eastAsia="sl-SI"/>
        </w:rPr>
      </w:pPr>
    </w:p>
    <w:p w14:paraId="4B2863B0" w14:textId="77777777" w:rsidR="008551BD" w:rsidRDefault="008551BD" w:rsidP="00AD3F42">
      <w:pPr>
        <w:tabs>
          <w:tab w:val="left" w:pos="283"/>
        </w:tabs>
        <w:autoSpaceDE w:val="0"/>
        <w:autoSpaceDN w:val="0"/>
        <w:adjustRightInd w:val="0"/>
        <w:jc w:val="both"/>
        <w:textAlignment w:val="center"/>
        <w:rPr>
          <w:rFonts w:cs="Arial"/>
          <w:color w:val="000000"/>
          <w:szCs w:val="22"/>
          <w:lang w:val="sl-SI" w:eastAsia="sl-SI"/>
        </w:rPr>
      </w:pPr>
    </w:p>
    <w:p w14:paraId="5491CA55" w14:textId="77777777" w:rsidR="00B522F1" w:rsidRPr="001444CC" w:rsidRDefault="00B522F1" w:rsidP="00AD3F42">
      <w:pPr>
        <w:tabs>
          <w:tab w:val="left" w:pos="283"/>
        </w:tabs>
        <w:autoSpaceDE w:val="0"/>
        <w:autoSpaceDN w:val="0"/>
        <w:adjustRightInd w:val="0"/>
        <w:jc w:val="both"/>
        <w:textAlignment w:val="center"/>
        <w:rPr>
          <w:rFonts w:cs="Arial"/>
          <w:color w:val="000000"/>
          <w:szCs w:val="22"/>
          <w:lang w:val="sl-SI" w:eastAsia="sl-SI"/>
        </w:rPr>
      </w:pPr>
    </w:p>
    <w:p w14:paraId="6616B76B" w14:textId="77777777" w:rsidR="00AD3F42" w:rsidRPr="001444CC" w:rsidRDefault="00AD3F42" w:rsidP="00AD3F42">
      <w:pPr>
        <w:tabs>
          <w:tab w:val="left" w:pos="283"/>
        </w:tabs>
        <w:autoSpaceDE w:val="0"/>
        <w:autoSpaceDN w:val="0"/>
        <w:adjustRightInd w:val="0"/>
        <w:jc w:val="both"/>
        <w:textAlignment w:val="center"/>
        <w:rPr>
          <w:rFonts w:cs="Arial"/>
          <w:color w:val="000000"/>
          <w:szCs w:val="22"/>
          <w:lang w:val="sl-SI" w:eastAsia="sl-SI"/>
        </w:rPr>
      </w:pPr>
    </w:p>
    <w:p w14:paraId="0A4CF68A" w14:textId="77777777" w:rsidR="00AD3F42" w:rsidRDefault="007D17A4" w:rsidP="00AD3F42">
      <w:pPr>
        <w:jc w:val="center"/>
        <w:rPr>
          <w:rFonts w:cs="Arial"/>
          <w:b/>
          <w:lang w:eastAsia="sl-SI"/>
        </w:rPr>
      </w:pPr>
      <w:r w:rsidRPr="00D1706A">
        <w:rPr>
          <w:rFonts w:cs="Arial"/>
          <w:b/>
          <w:lang w:eastAsia="sl-SI"/>
        </w:rPr>
        <w:t>Januar</w:t>
      </w:r>
      <w:r w:rsidR="00AD3F42" w:rsidRPr="00D1706A">
        <w:rPr>
          <w:rFonts w:cs="Arial"/>
          <w:b/>
          <w:lang w:eastAsia="sl-SI"/>
        </w:rPr>
        <w:t>, 2</w:t>
      </w:r>
      <w:r w:rsidR="00D1706A" w:rsidRPr="00D1706A">
        <w:rPr>
          <w:rFonts w:cs="Arial"/>
          <w:b/>
          <w:lang w:eastAsia="sl-SI"/>
        </w:rPr>
        <w:t>026</w:t>
      </w:r>
    </w:p>
    <w:p w14:paraId="7F187C77" w14:textId="654969B9" w:rsidR="0040309F" w:rsidRDefault="0040309F" w:rsidP="0040309F">
      <w:pPr>
        <w:tabs>
          <w:tab w:val="left" w:pos="5730"/>
        </w:tabs>
        <w:rPr>
          <w:rFonts w:cs="Arial"/>
          <w:b/>
          <w:lang w:eastAsia="sl-SI"/>
        </w:rPr>
      </w:pPr>
    </w:p>
    <w:p w14:paraId="1BD8B734" w14:textId="77777777" w:rsidR="008E5D6E" w:rsidRDefault="008E5D6E" w:rsidP="0040309F">
      <w:pPr>
        <w:tabs>
          <w:tab w:val="left" w:pos="5730"/>
        </w:tabs>
        <w:rPr>
          <w:rFonts w:cs="Arial"/>
          <w:b/>
          <w:lang w:eastAsia="sl-SI"/>
        </w:rPr>
      </w:pPr>
    </w:p>
    <w:p w14:paraId="52DF8DA2" w14:textId="77777777" w:rsidR="00697D3B" w:rsidRDefault="00697D3B" w:rsidP="0040309F">
      <w:pPr>
        <w:tabs>
          <w:tab w:val="left" w:pos="5730"/>
        </w:tabs>
        <w:rPr>
          <w:rFonts w:cs="Arial"/>
          <w:b/>
          <w:lang w:eastAsia="sl-SI"/>
        </w:rPr>
      </w:pPr>
    </w:p>
    <w:p w14:paraId="7887D38F" w14:textId="77777777" w:rsidR="0040309F" w:rsidRDefault="0040309F" w:rsidP="0040309F">
      <w:pPr>
        <w:tabs>
          <w:tab w:val="left" w:pos="5730"/>
        </w:tabs>
        <w:rPr>
          <w:rFonts w:cs="Arial"/>
          <w:b/>
          <w:lang w:eastAsia="sl-SI"/>
        </w:rPr>
      </w:pPr>
    </w:p>
    <w:p w14:paraId="5F80A21E" w14:textId="405B6EEE" w:rsidR="0040309F" w:rsidRPr="0040309F" w:rsidRDefault="0040309F" w:rsidP="0040309F">
      <w:pPr>
        <w:rPr>
          <w:rFonts w:cs="Arial"/>
          <w:lang w:eastAsia="sl-SI"/>
        </w:rPr>
        <w:sectPr w:rsidR="0040309F" w:rsidRPr="0040309F" w:rsidSect="00AD3F42">
          <w:headerReference w:type="default" r:id="rId8"/>
          <w:pgSz w:w="11906" w:h="16838"/>
          <w:pgMar w:top="1417" w:right="1417" w:bottom="1417" w:left="1417" w:header="708" w:footer="708" w:gutter="0"/>
          <w:cols w:space="708"/>
          <w:docGrid w:linePitch="360"/>
        </w:sectPr>
      </w:pPr>
    </w:p>
    <w:tbl>
      <w:tblPr>
        <w:tblStyle w:val="Tabelamrea"/>
        <w:tblW w:w="93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242"/>
      </w:tblGrid>
      <w:tr w:rsidR="00D259A9" w:rsidRPr="00697D3B" w14:paraId="5B8C91EF" w14:textId="77777777" w:rsidTr="00C40D71">
        <w:trPr>
          <w:trHeight w:val="170"/>
        </w:trPr>
        <w:tc>
          <w:tcPr>
            <w:tcW w:w="3114" w:type="dxa"/>
          </w:tcPr>
          <w:p w14:paraId="3F290AFC" w14:textId="2B472248" w:rsidR="00D259A9" w:rsidRPr="00697D3B" w:rsidRDefault="00D259A9" w:rsidP="000E0300">
            <w:pPr>
              <w:rPr>
                <w:rFonts w:cs="Arial"/>
                <w:sz w:val="22"/>
                <w:szCs w:val="22"/>
                <w:lang w:val="sl-SI"/>
              </w:rPr>
            </w:pPr>
            <w:r w:rsidRPr="00697D3B">
              <w:rPr>
                <w:rFonts w:cs="Arial"/>
                <w:sz w:val="22"/>
                <w:szCs w:val="22"/>
                <w:lang w:val="sl-SI"/>
              </w:rPr>
              <w:lastRenderedPageBreak/>
              <w:t>Oblikovno pripravil:</w:t>
            </w:r>
          </w:p>
        </w:tc>
        <w:tc>
          <w:tcPr>
            <w:tcW w:w="6242" w:type="dxa"/>
          </w:tcPr>
          <w:p w14:paraId="24974DB3" w14:textId="77777777" w:rsidR="00D259A9" w:rsidRPr="00697D3B" w:rsidRDefault="00D259A9" w:rsidP="000E0300">
            <w:pPr>
              <w:rPr>
                <w:rFonts w:cs="Arial"/>
                <w:sz w:val="22"/>
                <w:szCs w:val="22"/>
                <w:lang w:val="sl-SI"/>
              </w:rPr>
            </w:pPr>
            <w:r w:rsidRPr="00697D3B">
              <w:rPr>
                <w:rFonts w:cs="Arial"/>
                <w:sz w:val="22"/>
                <w:szCs w:val="22"/>
                <w:lang w:val="sl-SI"/>
              </w:rPr>
              <w:t xml:space="preserve">Ministrstvo za javno upravo </w:t>
            </w:r>
          </w:p>
        </w:tc>
      </w:tr>
      <w:tr w:rsidR="00D259A9" w:rsidRPr="00697D3B" w14:paraId="32309300" w14:textId="77777777" w:rsidTr="00C40D71">
        <w:trPr>
          <w:trHeight w:val="456"/>
        </w:trPr>
        <w:tc>
          <w:tcPr>
            <w:tcW w:w="3114" w:type="dxa"/>
          </w:tcPr>
          <w:p w14:paraId="3AC769B9" w14:textId="77777777" w:rsidR="00D259A9" w:rsidRPr="00697D3B" w:rsidRDefault="00D259A9" w:rsidP="000E0300">
            <w:pPr>
              <w:rPr>
                <w:rFonts w:cs="Arial"/>
                <w:sz w:val="22"/>
                <w:szCs w:val="22"/>
                <w:lang w:val="sl-SI"/>
              </w:rPr>
            </w:pPr>
            <w:r w:rsidRPr="00697D3B">
              <w:rPr>
                <w:rFonts w:cs="Arial"/>
                <w:sz w:val="22"/>
                <w:szCs w:val="22"/>
                <w:lang w:val="sl-SI"/>
              </w:rPr>
              <w:t>Datum kreiranja:</w:t>
            </w:r>
          </w:p>
        </w:tc>
        <w:tc>
          <w:tcPr>
            <w:tcW w:w="6242" w:type="dxa"/>
          </w:tcPr>
          <w:p w14:paraId="0F2FA744" w14:textId="5D251744" w:rsidR="00D259A9" w:rsidRPr="00697D3B" w:rsidRDefault="00D259A9" w:rsidP="000E0300">
            <w:pPr>
              <w:rPr>
                <w:rFonts w:cs="Arial"/>
                <w:sz w:val="22"/>
                <w:szCs w:val="22"/>
                <w:lang w:val="sl-SI"/>
              </w:rPr>
            </w:pPr>
            <w:r w:rsidRPr="00697D3B">
              <w:rPr>
                <w:rFonts w:cs="Arial"/>
                <w:sz w:val="22"/>
                <w:szCs w:val="22"/>
                <w:lang w:val="sl-SI"/>
              </w:rPr>
              <w:t>December 2025</w:t>
            </w:r>
          </w:p>
        </w:tc>
      </w:tr>
      <w:tr w:rsidR="00D259A9" w:rsidRPr="00697D3B" w14:paraId="16EEAB9E" w14:textId="77777777" w:rsidTr="00C40D71">
        <w:trPr>
          <w:trHeight w:val="170"/>
        </w:trPr>
        <w:tc>
          <w:tcPr>
            <w:tcW w:w="3114" w:type="dxa"/>
          </w:tcPr>
          <w:p w14:paraId="425F9D12" w14:textId="77777777" w:rsidR="00D259A9" w:rsidRPr="00697D3B" w:rsidRDefault="00D259A9" w:rsidP="000E0300">
            <w:pPr>
              <w:rPr>
                <w:rFonts w:cs="Arial"/>
                <w:sz w:val="22"/>
                <w:szCs w:val="22"/>
                <w:lang w:val="sl-SI"/>
              </w:rPr>
            </w:pPr>
            <w:r w:rsidRPr="00697D3B">
              <w:rPr>
                <w:rFonts w:cs="Arial"/>
                <w:sz w:val="22"/>
                <w:szCs w:val="22"/>
                <w:lang w:val="sl-SI"/>
              </w:rPr>
              <w:t>Status dokumenta:</w:t>
            </w:r>
          </w:p>
        </w:tc>
        <w:tc>
          <w:tcPr>
            <w:tcW w:w="6242" w:type="dxa"/>
          </w:tcPr>
          <w:p w14:paraId="69199ED1" w14:textId="77777777" w:rsidR="00D259A9" w:rsidRPr="00697D3B" w:rsidRDefault="00D259A9" w:rsidP="000E0300">
            <w:pPr>
              <w:rPr>
                <w:rFonts w:cs="Arial"/>
                <w:sz w:val="22"/>
                <w:szCs w:val="22"/>
                <w:lang w:val="sl-SI"/>
              </w:rPr>
            </w:pPr>
            <w:r w:rsidRPr="00697D3B">
              <w:rPr>
                <w:rFonts w:cs="Arial"/>
                <w:sz w:val="22"/>
                <w:szCs w:val="22"/>
                <w:lang w:val="sl-SI"/>
              </w:rPr>
              <w:t>Končno poročilo</w:t>
            </w:r>
          </w:p>
        </w:tc>
      </w:tr>
      <w:tr w:rsidR="00D259A9" w:rsidRPr="00697D3B" w14:paraId="711B4A61" w14:textId="77777777" w:rsidTr="00C40D71">
        <w:trPr>
          <w:trHeight w:val="170"/>
        </w:trPr>
        <w:tc>
          <w:tcPr>
            <w:tcW w:w="3114" w:type="dxa"/>
          </w:tcPr>
          <w:p w14:paraId="5D3A9142" w14:textId="55800517" w:rsidR="00D259A9" w:rsidRPr="00697D3B" w:rsidRDefault="00EF0132" w:rsidP="000E0300">
            <w:pPr>
              <w:rPr>
                <w:rFonts w:cs="Arial"/>
                <w:sz w:val="22"/>
                <w:szCs w:val="22"/>
                <w:lang w:val="sl-SI"/>
              </w:rPr>
            </w:pPr>
            <w:r>
              <w:rPr>
                <w:rFonts w:cs="Arial"/>
                <w:sz w:val="22"/>
                <w:szCs w:val="22"/>
                <w:lang w:val="sl-SI"/>
              </w:rPr>
              <w:t>Nosilec ukrepa</w:t>
            </w:r>
            <w:r w:rsidR="00D259A9" w:rsidRPr="00697D3B">
              <w:rPr>
                <w:rFonts w:cs="Arial"/>
                <w:sz w:val="22"/>
                <w:szCs w:val="22"/>
                <w:lang w:val="sl-SI"/>
              </w:rPr>
              <w:t>:</w:t>
            </w:r>
          </w:p>
        </w:tc>
        <w:tc>
          <w:tcPr>
            <w:tcW w:w="6242" w:type="dxa"/>
          </w:tcPr>
          <w:p w14:paraId="2AE3680B" w14:textId="6FA08E38" w:rsidR="00D259A9" w:rsidRPr="00697D3B" w:rsidRDefault="007D1625" w:rsidP="000E0300">
            <w:pPr>
              <w:rPr>
                <w:rFonts w:cs="Arial"/>
                <w:sz w:val="22"/>
                <w:szCs w:val="22"/>
                <w:lang w:val="sl-SI"/>
              </w:rPr>
            </w:pPr>
            <w:r w:rsidRPr="00697D3B">
              <w:rPr>
                <w:rFonts w:cs="Arial"/>
                <w:sz w:val="22"/>
                <w:szCs w:val="22"/>
                <w:lang w:val="sl-SI"/>
              </w:rPr>
              <w:t xml:space="preserve">Ministrstvo za </w:t>
            </w:r>
            <w:r w:rsidR="00EF2787">
              <w:rPr>
                <w:rFonts w:cs="Arial"/>
                <w:sz w:val="22"/>
                <w:szCs w:val="22"/>
                <w:lang w:val="sl-SI"/>
              </w:rPr>
              <w:t>naravne vire in prostor</w:t>
            </w:r>
          </w:p>
        </w:tc>
      </w:tr>
    </w:tbl>
    <w:p w14:paraId="54441373" w14:textId="77777777" w:rsidR="00656187" w:rsidRPr="0006397E" w:rsidRDefault="00656187" w:rsidP="00D259A9">
      <w:pPr>
        <w:rPr>
          <w:rFonts w:asciiTheme="majorHAnsi" w:hAnsiTheme="majorHAnsi"/>
          <w:color w:val="0F4761" w:themeColor="accent1" w:themeShade="BF"/>
          <w:sz w:val="32"/>
          <w:szCs w:val="32"/>
          <w:lang w:val="sl-SI"/>
        </w:rPr>
      </w:pPr>
    </w:p>
    <w:p w14:paraId="53857A9F" w14:textId="77777777" w:rsidR="00EF2787" w:rsidRPr="00EF2787" w:rsidRDefault="00EF2787" w:rsidP="00EF2787">
      <w:pPr>
        <w:spacing w:before="0" w:after="0" w:line="0" w:lineRule="atLeast"/>
        <w:rPr>
          <w:rFonts w:asciiTheme="majorHAnsi" w:hAnsiTheme="majorHAnsi"/>
          <w:color w:val="0F4761" w:themeColor="accent1" w:themeShade="BF"/>
          <w:sz w:val="32"/>
          <w:szCs w:val="32"/>
          <w:u w:val="single"/>
          <w:lang w:val="sl-SI"/>
        </w:rPr>
      </w:pPr>
      <w:r w:rsidRPr="00EF2787">
        <w:rPr>
          <w:rFonts w:asciiTheme="majorHAnsi" w:hAnsiTheme="majorHAnsi"/>
          <w:color w:val="0F4761" w:themeColor="accent1" w:themeShade="BF"/>
          <w:sz w:val="32"/>
          <w:szCs w:val="32"/>
          <w:u w:val="single"/>
          <w:lang w:val="sl-SI"/>
        </w:rPr>
        <w:t>Opis sprememb</w:t>
      </w:r>
    </w:p>
    <w:p w14:paraId="42BE0E49" w14:textId="77777777" w:rsidR="00EF2787" w:rsidRPr="00EF2787" w:rsidRDefault="00EF2787" w:rsidP="00EF2787">
      <w:pPr>
        <w:spacing w:before="0" w:after="0" w:line="0" w:lineRule="atLeast"/>
        <w:jc w:val="both"/>
        <w:rPr>
          <w:rFonts w:asciiTheme="majorHAnsi" w:hAnsiTheme="majorHAnsi"/>
          <w:sz w:val="22"/>
          <w:szCs w:val="22"/>
          <w:lang w:val="sl-SI"/>
        </w:rPr>
      </w:pPr>
      <w:r w:rsidRPr="00EF2787">
        <w:rPr>
          <w:rFonts w:asciiTheme="majorHAnsi" w:hAnsiTheme="majorHAnsi"/>
          <w:sz w:val="22"/>
          <w:szCs w:val="22"/>
          <w:lang w:val="sl-SI"/>
        </w:rPr>
        <w:t xml:space="preserve">Resolucija o Strategiji prostorskega razvoja Slovenije 2050 (ReSPR50), ki jo je Državni zbor sprejel junija 2023, predstavlja temeljni strateški dokument za dolgoročno usmerjanje prostorskega razvoja države. Strategija odgovarja na ključne razvojne izzive, kot so podnebne in demografske spremembe, stanovanjska in energetska oskrba, trajnostna mobilnost, prehranska varnost ter ozelenitev mest in zagotavljanje kakovostnih življenjskih pogojev na podeželju. Njeno bistvo je v celovitem, med sektorsko usklajenim urejanjem prostora oz. v večji učinkovitosti pri usklajevanju prostorske politike z drugimi sektorji, kot so okolje, gospodarstvo in mobilnost. </w:t>
      </w:r>
    </w:p>
    <w:p w14:paraId="1036EF46" w14:textId="77777777" w:rsidR="00EF2787" w:rsidRPr="00EF2787" w:rsidRDefault="00EF2787" w:rsidP="00EF2787">
      <w:pPr>
        <w:spacing w:before="0" w:after="0" w:line="0" w:lineRule="atLeast"/>
        <w:jc w:val="both"/>
        <w:rPr>
          <w:rFonts w:asciiTheme="majorHAnsi" w:hAnsiTheme="majorHAnsi"/>
          <w:sz w:val="22"/>
          <w:szCs w:val="22"/>
          <w:lang w:val="sl-SI"/>
        </w:rPr>
      </w:pPr>
      <w:r w:rsidRPr="00EF2787">
        <w:rPr>
          <w:rFonts w:asciiTheme="majorHAnsi" w:hAnsiTheme="majorHAnsi"/>
          <w:sz w:val="22"/>
          <w:szCs w:val="22"/>
          <w:lang w:val="sl-SI"/>
        </w:rPr>
        <w:t xml:space="preserve">Strategija poudarja bolj racionalno rabo prostora in hkrati z akcijski programi in regionalnimi prostorskimi plani omogoča preglednejše upravljanje in učinkovitejše postopke priprave izvedbenih prostorskih aktov. </w:t>
      </w:r>
    </w:p>
    <w:p w14:paraId="2686015C" w14:textId="77777777" w:rsidR="00EF2787" w:rsidRPr="00EF2787" w:rsidRDefault="00EF2787" w:rsidP="00EF2787">
      <w:pPr>
        <w:spacing w:before="0" w:after="0" w:line="0" w:lineRule="atLeast"/>
        <w:jc w:val="both"/>
        <w:rPr>
          <w:rFonts w:asciiTheme="majorHAnsi" w:hAnsiTheme="majorHAnsi"/>
          <w:sz w:val="22"/>
          <w:szCs w:val="22"/>
          <w:lang w:val="sl-SI"/>
        </w:rPr>
      </w:pPr>
      <w:r w:rsidRPr="00EF2787">
        <w:rPr>
          <w:rFonts w:asciiTheme="majorHAnsi" w:hAnsiTheme="majorHAnsi"/>
          <w:sz w:val="22"/>
          <w:szCs w:val="22"/>
          <w:lang w:val="sl-SI"/>
        </w:rPr>
        <w:t xml:space="preserve">Poseben poudarek je na participativnem načrtovanju, ki vključuje zgodnje sodelovanje deležnikov, s čimer se zmanjšuje število kasnejših nasprotovanj in se skrajšujejo sicer dolgotrajni postopki. Pomemben element je tudi uporaba standardiziranih kazalnikov za spremljanje stanja prostora, kar omogoča hitrejše in bolj transparentno odločanje. </w:t>
      </w:r>
    </w:p>
    <w:p w14:paraId="7DEEF159" w14:textId="77777777" w:rsidR="00EF2787" w:rsidRPr="00EF2787" w:rsidRDefault="00EF2787" w:rsidP="00EF2787">
      <w:pPr>
        <w:spacing w:before="0" w:after="0" w:line="0" w:lineRule="atLeast"/>
        <w:jc w:val="both"/>
        <w:rPr>
          <w:rFonts w:asciiTheme="majorHAnsi" w:hAnsiTheme="majorHAnsi"/>
          <w:sz w:val="22"/>
          <w:szCs w:val="22"/>
          <w:lang w:val="sl-SI"/>
        </w:rPr>
      </w:pPr>
      <w:r w:rsidRPr="00EF2787">
        <w:rPr>
          <w:rFonts w:asciiTheme="majorHAnsi" w:hAnsiTheme="majorHAnsi"/>
          <w:sz w:val="22"/>
          <w:szCs w:val="22"/>
          <w:lang w:val="sl-SI"/>
        </w:rPr>
        <w:t>Integracija sektorskih politik v prostorsko načrtovanje z bolj usklajenimi odločitvami pripomore k učinkovitejši izvedbeni ravni. Strategija spodbuja:</w:t>
      </w:r>
    </w:p>
    <w:p w14:paraId="52ADD5BF" w14:textId="77777777" w:rsidR="00EF2787" w:rsidRPr="00EF2787" w:rsidRDefault="00EF2787" w:rsidP="00EF2787">
      <w:pPr>
        <w:pStyle w:val="Odstavekseznama"/>
        <w:numPr>
          <w:ilvl w:val="0"/>
          <w:numId w:val="48"/>
        </w:numPr>
        <w:spacing w:before="0" w:after="0" w:line="0" w:lineRule="atLeast"/>
        <w:jc w:val="both"/>
        <w:rPr>
          <w:rFonts w:asciiTheme="majorHAnsi" w:hAnsiTheme="majorHAnsi"/>
          <w:sz w:val="22"/>
          <w:szCs w:val="22"/>
          <w:lang w:val="sl-SI"/>
        </w:rPr>
      </w:pPr>
      <w:r w:rsidRPr="00EF2787">
        <w:rPr>
          <w:rFonts w:asciiTheme="majorHAnsi" w:hAnsiTheme="majorHAnsi"/>
          <w:sz w:val="22"/>
          <w:szCs w:val="22"/>
          <w:lang w:val="sl-SI"/>
        </w:rPr>
        <w:t>racionalen policentričen sistem središč s storitvami za visoko kakovost bivanja,</w:t>
      </w:r>
    </w:p>
    <w:p w14:paraId="71EDE84F" w14:textId="77777777" w:rsidR="00EF2787" w:rsidRPr="00EF2787" w:rsidRDefault="00EF2787" w:rsidP="00EF2787">
      <w:pPr>
        <w:pStyle w:val="Odstavekseznama"/>
        <w:numPr>
          <w:ilvl w:val="0"/>
          <w:numId w:val="48"/>
        </w:numPr>
        <w:spacing w:before="0" w:after="0" w:line="0" w:lineRule="atLeast"/>
        <w:jc w:val="both"/>
        <w:rPr>
          <w:rFonts w:asciiTheme="majorHAnsi" w:hAnsiTheme="majorHAnsi"/>
          <w:sz w:val="22"/>
          <w:szCs w:val="22"/>
          <w:lang w:val="sl-SI"/>
        </w:rPr>
      </w:pPr>
      <w:r w:rsidRPr="00EF2787">
        <w:rPr>
          <w:rFonts w:asciiTheme="majorHAnsi" w:hAnsiTheme="majorHAnsi"/>
          <w:sz w:val="22"/>
          <w:szCs w:val="22"/>
          <w:lang w:val="sl-SI"/>
        </w:rPr>
        <w:t xml:space="preserve">trajnostno mobilnost, </w:t>
      </w:r>
    </w:p>
    <w:p w14:paraId="4EF61C6E" w14:textId="77777777" w:rsidR="00EF2787" w:rsidRPr="00EF2787" w:rsidRDefault="00EF2787" w:rsidP="00EF2787">
      <w:pPr>
        <w:pStyle w:val="Odstavekseznama"/>
        <w:numPr>
          <w:ilvl w:val="0"/>
          <w:numId w:val="48"/>
        </w:numPr>
        <w:spacing w:before="0" w:after="0" w:line="0" w:lineRule="atLeast"/>
        <w:jc w:val="both"/>
        <w:rPr>
          <w:rFonts w:asciiTheme="majorHAnsi" w:hAnsiTheme="majorHAnsi"/>
          <w:sz w:val="22"/>
          <w:szCs w:val="22"/>
          <w:lang w:val="sl-SI"/>
        </w:rPr>
      </w:pPr>
      <w:r w:rsidRPr="00EF2787">
        <w:rPr>
          <w:rFonts w:asciiTheme="majorHAnsi" w:hAnsiTheme="majorHAnsi"/>
          <w:sz w:val="22"/>
          <w:szCs w:val="22"/>
          <w:lang w:val="sl-SI"/>
        </w:rPr>
        <w:t xml:space="preserve">mešano rabo prostora in prenovo ter </w:t>
      </w:r>
    </w:p>
    <w:p w14:paraId="52AD7A02" w14:textId="77777777" w:rsidR="00EF2787" w:rsidRPr="00EF2787" w:rsidRDefault="00EF2787" w:rsidP="00EF2787">
      <w:pPr>
        <w:pStyle w:val="Odstavekseznama"/>
        <w:numPr>
          <w:ilvl w:val="0"/>
          <w:numId w:val="48"/>
        </w:numPr>
        <w:spacing w:before="0" w:after="0" w:line="0" w:lineRule="atLeast"/>
        <w:jc w:val="both"/>
        <w:rPr>
          <w:rFonts w:asciiTheme="majorHAnsi" w:hAnsiTheme="majorHAnsi"/>
          <w:sz w:val="22"/>
          <w:szCs w:val="22"/>
          <w:lang w:val="sl-SI"/>
        </w:rPr>
      </w:pPr>
      <w:r w:rsidRPr="00EF2787">
        <w:rPr>
          <w:rFonts w:asciiTheme="majorHAnsi" w:hAnsiTheme="majorHAnsi"/>
          <w:sz w:val="22"/>
          <w:szCs w:val="22"/>
          <w:lang w:val="sl-SI"/>
        </w:rPr>
        <w:t xml:space="preserve">razvoj zelene infrastrukture, kar dolgoročno prinaša </w:t>
      </w:r>
    </w:p>
    <w:p w14:paraId="642E7498" w14:textId="77777777" w:rsidR="00EF2787" w:rsidRPr="00EF2787" w:rsidRDefault="00EF2787" w:rsidP="00EF2787">
      <w:pPr>
        <w:pStyle w:val="Odstavekseznama"/>
        <w:numPr>
          <w:ilvl w:val="0"/>
          <w:numId w:val="48"/>
        </w:numPr>
        <w:spacing w:before="0" w:after="0" w:line="0" w:lineRule="atLeast"/>
        <w:jc w:val="both"/>
        <w:rPr>
          <w:rFonts w:asciiTheme="majorHAnsi" w:hAnsiTheme="majorHAnsi"/>
          <w:sz w:val="22"/>
          <w:szCs w:val="22"/>
          <w:lang w:val="sl-SI"/>
        </w:rPr>
      </w:pPr>
      <w:r w:rsidRPr="00EF2787">
        <w:rPr>
          <w:rFonts w:asciiTheme="majorHAnsi" w:hAnsiTheme="majorHAnsi"/>
          <w:sz w:val="22"/>
          <w:szCs w:val="22"/>
          <w:lang w:val="sl-SI"/>
        </w:rPr>
        <w:t xml:space="preserve">gospodarske in časovne prihranke ter </w:t>
      </w:r>
    </w:p>
    <w:p w14:paraId="653BCB33" w14:textId="77777777" w:rsidR="00EF2787" w:rsidRPr="00EF2787" w:rsidRDefault="00EF2787" w:rsidP="00EF2787">
      <w:pPr>
        <w:pStyle w:val="Odstavekseznama"/>
        <w:numPr>
          <w:ilvl w:val="0"/>
          <w:numId w:val="48"/>
        </w:numPr>
        <w:spacing w:before="0" w:after="0" w:line="0" w:lineRule="atLeast"/>
        <w:jc w:val="both"/>
        <w:rPr>
          <w:rFonts w:asciiTheme="majorHAnsi" w:hAnsiTheme="majorHAnsi"/>
          <w:sz w:val="22"/>
          <w:szCs w:val="22"/>
          <w:lang w:val="sl-SI"/>
        </w:rPr>
      </w:pPr>
      <w:r w:rsidRPr="00EF2787">
        <w:rPr>
          <w:rFonts w:asciiTheme="majorHAnsi" w:hAnsiTheme="majorHAnsi"/>
          <w:sz w:val="22"/>
          <w:szCs w:val="22"/>
          <w:lang w:val="sl-SI"/>
        </w:rPr>
        <w:t xml:space="preserve">krepi odpornost prostora na podnebne spremembe. </w:t>
      </w:r>
    </w:p>
    <w:p w14:paraId="41EF5784" w14:textId="77777777" w:rsidR="00EF2787" w:rsidRPr="00EF2787" w:rsidRDefault="00EF2787" w:rsidP="00EF2787">
      <w:pPr>
        <w:spacing w:before="0" w:after="0" w:line="0" w:lineRule="atLeast"/>
        <w:jc w:val="both"/>
        <w:rPr>
          <w:rFonts w:asciiTheme="majorHAnsi" w:hAnsiTheme="majorHAnsi"/>
          <w:sz w:val="22"/>
          <w:szCs w:val="22"/>
          <w:lang w:val="sl-SI"/>
        </w:rPr>
      </w:pPr>
    </w:p>
    <w:p w14:paraId="15FD43B0" w14:textId="77777777" w:rsidR="00EF2787" w:rsidRPr="00EF2787" w:rsidRDefault="00EF2787" w:rsidP="00EF2787">
      <w:pPr>
        <w:spacing w:before="0" w:after="0" w:line="0" w:lineRule="atLeast"/>
        <w:jc w:val="both"/>
        <w:rPr>
          <w:rFonts w:asciiTheme="majorHAnsi" w:hAnsiTheme="majorHAnsi"/>
          <w:sz w:val="22"/>
          <w:szCs w:val="22"/>
          <w:lang w:val="sl-SI"/>
        </w:rPr>
      </w:pPr>
      <w:r w:rsidRPr="00EF2787">
        <w:rPr>
          <w:rFonts w:asciiTheme="majorHAnsi" w:hAnsiTheme="majorHAnsi"/>
          <w:sz w:val="22"/>
          <w:szCs w:val="22"/>
          <w:lang w:val="sl-SI"/>
        </w:rPr>
        <w:t>Prvi korak k uresničevanju teh ciljev je akcijski načrt za izvajanje strategije do leta 2030, ki ga je Vlada Republike Slovenije sprejela julija 2025.</w:t>
      </w:r>
    </w:p>
    <w:p w14:paraId="301A7D85" w14:textId="77777777" w:rsidR="00EF2787" w:rsidRPr="00EF2787" w:rsidRDefault="00EF2787" w:rsidP="00EF2787">
      <w:pPr>
        <w:spacing w:before="0" w:after="0" w:line="0" w:lineRule="atLeast"/>
        <w:rPr>
          <w:rFonts w:asciiTheme="majorHAnsi" w:hAnsiTheme="majorHAnsi"/>
          <w:sz w:val="22"/>
          <w:szCs w:val="22"/>
          <w:lang w:val="sl-SI"/>
        </w:rPr>
      </w:pPr>
    </w:p>
    <w:p w14:paraId="034E3535" w14:textId="77777777" w:rsidR="00EF2787" w:rsidRPr="00EF2787" w:rsidRDefault="00EF2787" w:rsidP="00EF2787">
      <w:pPr>
        <w:spacing w:before="0" w:after="0" w:line="0" w:lineRule="atLeast"/>
        <w:rPr>
          <w:rFonts w:asciiTheme="majorHAnsi" w:hAnsiTheme="majorHAnsi"/>
          <w:color w:val="0F4761" w:themeColor="accent1" w:themeShade="BF"/>
          <w:sz w:val="32"/>
          <w:szCs w:val="32"/>
          <w:u w:val="single"/>
          <w:lang w:val="sl-SI"/>
        </w:rPr>
      </w:pPr>
      <w:r w:rsidRPr="00EF2787">
        <w:rPr>
          <w:rFonts w:asciiTheme="majorHAnsi" w:hAnsiTheme="majorHAnsi"/>
          <w:color w:val="0F4761" w:themeColor="accent1" w:themeShade="BF"/>
          <w:sz w:val="32"/>
          <w:szCs w:val="32"/>
          <w:u w:val="single"/>
          <w:lang w:val="sl-SI"/>
        </w:rPr>
        <w:t>Zakonodaja, ki jo je bilo potrebno spremeniti</w:t>
      </w:r>
    </w:p>
    <w:p w14:paraId="6A5BD638" w14:textId="77777777" w:rsidR="00EF2787" w:rsidRPr="00EF2787" w:rsidRDefault="00EF2787" w:rsidP="00EF2787">
      <w:pPr>
        <w:numPr>
          <w:ilvl w:val="0"/>
          <w:numId w:val="45"/>
        </w:numPr>
        <w:spacing w:before="0" w:after="0" w:line="0" w:lineRule="atLeast"/>
        <w:rPr>
          <w:rFonts w:asciiTheme="majorHAnsi" w:hAnsiTheme="majorHAnsi"/>
          <w:sz w:val="22"/>
          <w:szCs w:val="22"/>
          <w:lang w:val="sl-SI"/>
        </w:rPr>
      </w:pPr>
      <w:r w:rsidRPr="00EF2787">
        <w:rPr>
          <w:rFonts w:asciiTheme="majorHAnsi" w:hAnsiTheme="majorHAnsi"/>
          <w:sz w:val="22"/>
          <w:szCs w:val="22"/>
          <w:lang w:val="sl-SI"/>
        </w:rPr>
        <w:t>Sprejeta Resolucija o Strategiji prostorskega razvoja Slovenije 2050 (</w:t>
      </w:r>
      <w:r w:rsidRPr="00EF2787">
        <w:rPr>
          <w:rFonts w:asciiTheme="majorHAnsi" w:eastAsia="Book Antiqua" w:hAnsiTheme="majorHAnsi" w:cs="Book Antiqua"/>
          <w:sz w:val="22"/>
          <w:szCs w:val="22"/>
          <w:lang w:val="sl-SI"/>
        </w:rPr>
        <w:t xml:space="preserve">Uradni list RS, št. 72/23; </w:t>
      </w:r>
      <w:r w:rsidRPr="00EF2787">
        <w:rPr>
          <w:rFonts w:asciiTheme="majorHAnsi" w:hAnsiTheme="majorHAnsi"/>
          <w:sz w:val="22"/>
          <w:szCs w:val="22"/>
          <w:lang w:val="sl-SI"/>
        </w:rPr>
        <w:t>ReSPR50)</w:t>
      </w:r>
    </w:p>
    <w:p w14:paraId="60360360" w14:textId="77777777" w:rsidR="00EF2787" w:rsidRPr="00EF2787" w:rsidRDefault="00EF2787" w:rsidP="00EF2787">
      <w:pPr>
        <w:spacing w:before="0" w:after="0" w:line="0" w:lineRule="atLeast"/>
        <w:ind w:left="720"/>
        <w:rPr>
          <w:rFonts w:asciiTheme="majorHAnsi" w:hAnsiTheme="majorHAnsi"/>
          <w:sz w:val="22"/>
          <w:szCs w:val="22"/>
          <w:lang w:val="sl-SI"/>
        </w:rPr>
      </w:pPr>
    </w:p>
    <w:p w14:paraId="132C7356" w14:textId="77777777" w:rsidR="00EF2787" w:rsidRPr="00EF2787" w:rsidRDefault="00EF2787" w:rsidP="00EF2787">
      <w:pPr>
        <w:spacing w:before="0" w:after="0" w:line="0" w:lineRule="atLeast"/>
        <w:rPr>
          <w:rFonts w:asciiTheme="majorHAnsi" w:hAnsiTheme="majorHAnsi"/>
          <w:color w:val="0F4761" w:themeColor="accent1" w:themeShade="BF"/>
          <w:sz w:val="32"/>
          <w:szCs w:val="32"/>
          <w:u w:val="single"/>
          <w:lang w:val="sl-SI"/>
        </w:rPr>
      </w:pPr>
      <w:r w:rsidRPr="00EF2787">
        <w:rPr>
          <w:rFonts w:asciiTheme="majorHAnsi" w:hAnsiTheme="majorHAnsi"/>
          <w:color w:val="0F4761" w:themeColor="accent1" w:themeShade="BF"/>
          <w:sz w:val="32"/>
          <w:szCs w:val="32"/>
          <w:u w:val="single"/>
          <w:lang w:val="sl-SI"/>
        </w:rPr>
        <w:t>Bistvo administrativne razbremenitve</w:t>
      </w:r>
    </w:p>
    <w:p w14:paraId="2B516E94" w14:textId="77777777" w:rsidR="00EF2787" w:rsidRPr="00EF2787" w:rsidRDefault="00EF2787" w:rsidP="00EF2787">
      <w:pPr>
        <w:pStyle w:val="Odstavekseznama"/>
        <w:numPr>
          <w:ilvl w:val="0"/>
          <w:numId w:val="48"/>
        </w:numPr>
        <w:spacing w:before="0" w:after="0" w:line="0" w:lineRule="atLeast"/>
        <w:jc w:val="both"/>
        <w:rPr>
          <w:rFonts w:asciiTheme="majorHAnsi" w:hAnsiTheme="majorHAnsi"/>
          <w:sz w:val="22"/>
          <w:szCs w:val="22"/>
          <w:lang w:val="sl-SI"/>
        </w:rPr>
      </w:pPr>
      <w:r w:rsidRPr="00EF2787">
        <w:rPr>
          <w:rFonts w:asciiTheme="majorHAnsi" w:hAnsiTheme="majorHAnsi"/>
          <w:sz w:val="22"/>
          <w:szCs w:val="22"/>
          <w:lang w:val="sl-SI"/>
        </w:rPr>
        <w:t>Gospodarske in časovne prihranke</w:t>
      </w:r>
    </w:p>
    <w:p w14:paraId="6E0BF06A" w14:textId="77777777" w:rsidR="00EF2787" w:rsidRPr="00EF2787" w:rsidRDefault="00EF2787" w:rsidP="00EF2787">
      <w:pPr>
        <w:pStyle w:val="Odstavekseznama"/>
        <w:spacing w:before="0" w:after="0" w:line="0" w:lineRule="atLeast"/>
        <w:jc w:val="both"/>
        <w:rPr>
          <w:rFonts w:asciiTheme="majorHAnsi" w:hAnsiTheme="majorHAnsi"/>
          <w:sz w:val="22"/>
          <w:szCs w:val="22"/>
          <w:lang w:val="sl-SI"/>
        </w:rPr>
      </w:pPr>
    </w:p>
    <w:p w14:paraId="5B130BBE" w14:textId="77777777" w:rsidR="00EF2787" w:rsidRPr="00EF2787" w:rsidRDefault="00EF2787" w:rsidP="00EF2787">
      <w:pPr>
        <w:spacing w:before="0" w:after="0" w:line="0" w:lineRule="atLeast"/>
        <w:rPr>
          <w:rFonts w:asciiTheme="majorHAnsi" w:hAnsiTheme="majorHAnsi"/>
          <w:color w:val="0F4761" w:themeColor="accent1" w:themeShade="BF"/>
          <w:sz w:val="32"/>
          <w:szCs w:val="32"/>
          <w:u w:val="single"/>
          <w:lang w:val="sl-SI"/>
        </w:rPr>
      </w:pPr>
      <w:r w:rsidRPr="00EF2787">
        <w:rPr>
          <w:rFonts w:asciiTheme="majorHAnsi" w:hAnsiTheme="majorHAnsi"/>
          <w:color w:val="0F4761" w:themeColor="accent1" w:themeShade="BF"/>
          <w:sz w:val="32"/>
          <w:szCs w:val="32"/>
          <w:u w:val="single"/>
          <w:lang w:val="sl-SI"/>
        </w:rPr>
        <w:t>Na koga sprememba vpliva</w:t>
      </w:r>
    </w:p>
    <w:p w14:paraId="04B64DF8" w14:textId="77777777" w:rsidR="00EF2787" w:rsidRPr="00EF2787" w:rsidRDefault="00EF2787" w:rsidP="00EF2787">
      <w:pPr>
        <w:numPr>
          <w:ilvl w:val="0"/>
          <w:numId w:val="46"/>
        </w:numPr>
        <w:spacing w:before="0" w:after="0" w:line="0" w:lineRule="atLeast"/>
        <w:rPr>
          <w:rFonts w:asciiTheme="majorHAnsi" w:hAnsiTheme="majorHAnsi"/>
          <w:sz w:val="22"/>
          <w:szCs w:val="22"/>
          <w:lang w:val="sl-SI"/>
        </w:rPr>
      </w:pPr>
      <w:r w:rsidRPr="00EF2787">
        <w:rPr>
          <w:rFonts w:asciiTheme="majorHAnsi" w:hAnsiTheme="majorHAnsi"/>
          <w:sz w:val="22"/>
          <w:szCs w:val="22"/>
          <w:lang w:val="sl-SI"/>
        </w:rPr>
        <w:t>Državne in lokalne organe (prostorsko načrtovanje)</w:t>
      </w:r>
    </w:p>
    <w:p w14:paraId="60D9E3AE" w14:textId="77777777" w:rsidR="00EF2787" w:rsidRPr="00EF2787" w:rsidRDefault="00EF2787" w:rsidP="00EF2787">
      <w:pPr>
        <w:numPr>
          <w:ilvl w:val="0"/>
          <w:numId w:val="46"/>
        </w:numPr>
        <w:spacing w:before="0" w:after="0" w:line="0" w:lineRule="atLeast"/>
        <w:rPr>
          <w:rFonts w:asciiTheme="majorHAnsi" w:hAnsiTheme="majorHAnsi"/>
          <w:sz w:val="22"/>
          <w:szCs w:val="22"/>
          <w:lang w:val="sl-SI"/>
        </w:rPr>
      </w:pPr>
      <w:r w:rsidRPr="00EF2787">
        <w:rPr>
          <w:rFonts w:asciiTheme="majorHAnsi" w:hAnsiTheme="majorHAnsi"/>
          <w:sz w:val="22"/>
          <w:szCs w:val="22"/>
          <w:lang w:val="sl-SI"/>
        </w:rPr>
        <w:t>Investitorje in gospodarstvo (hitrejši postopki)</w:t>
      </w:r>
    </w:p>
    <w:p w14:paraId="22007A15" w14:textId="77777777" w:rsidR="00EF2787" w:rsidRPr="00EF2787" w:rsidRDefault="00EF2787" w:rsidP="00EF2787">
      <w:pPr>
        <w:numPr>
          <w:ilvl w:val="0"/>
          <w:numId w:val="46"/>
        </w:numPr>
        <w:spacing w:before="0" w:after="0" w:line="0" w:lineRule="atLeast"/>
        <w:rPr>
          <w:rFonts w:asciiTheme="majorHAnsi" w:hAnsiTheme="majorHAnsi"/>
          <w:sz w:val="22"/>
          <w:szCs w:val="22"/>
          <w:lang w:val="sl-SI"/>
        </w:rPr>
      </w:pPr>
      <w:r w:rsidRPr="00EF2787">
        <w:rPr>
          <w:rFonts w:asciiTheme="majorHAnsi" w:hAnsiTheme="majorHAnsi"/>
          <w:sz w:val="22"/>
          <w:szCs w:val="22"/>
          <w:lang w:val="sl-SI"/>
        </w:rPr>
        <w:t>Prebivalce (kakovostnejši prostorski razvoj, večja dostopnost informacij)</w:t>
      </w:r>
    </w:p>
    <w:p w14:paraId="07583260" w14:textId="77777777" w:rsidR="00EF2787" w:rsidRDefault="00EF2787" w:rsidP="00EF2787">
      <w:pPr>
        <w:spacing w:before="0" w:after="0" w:line="0" w:lineRule="atLeast"/>
        <w:rPr>
          <w:rFonts w:asciiTheme="majorHAnsi" w:hAnsiTheme="majorHAnsi"/>
          <w:sz w:val="22"/>
          <w:szCs w:val="22"/>
          <w:lang w:val="sl-SI"/>
        </w:rPr>
      </w:pPr>
    </w:p>
    <w:p w14:paraId="45604470" w14:textId="77777777" w:rsidR="00EF2787" w:rsidRPr="00EF2787" w:rsidRDefault="00EF2787" w:rsidP="00EF2787">
      <w:pPr>
        <w:spacing w:before="0" w:after="0" w:line="0" w:lineRule="atLeast"/>
        <w:rPr>
          <w:rFonts w:asciiTheme="majorHAnsi" w:hAnsiTheme="majorHAnsi"/>
          <w:sz w:val="22"/>
          <w:szCs w:val="22"/>
          <w:lang w:val="sl-SI"/>
        </w:rPr>
      </w:pPr>
    </w:p>
    <w:p w14:paraId="5D914FEF" w14:textId="77777777" w:rsidR="00EF2787" w:rsidRPr="00EF2787" w:rsidRDefault="00EF2787" w:rsidP="00EF2787">
      <w:pPr>
        <w:spacing w:before="0" w:after="0" w:line="0" w:lineRule="atLeast"/>
        <w:rPr>
          <w:rFonts w:asciiTheme="majorHAnsi" w:hAnsiTheme="majorHAnsi"/>
          <w:color w:val="0F4761" w:themeColor="accent1" w:themeShade="BF"/>
          <w:sz w:val="32"/>
          <w:szCs w:val="32"/>
          <w:u w:val="single"/>
          <w:lang w:val="sl-SI"/>
        </w:rPr>
      </w:pPr>
      <w:r w:rsidRPr="00EF2787">
        <w:rPr>
          <w:rFonts w:asciiTheme="majorHAnsi" w:hAnsiTheme="majorHAnsi"/>
          <w:color w:val="0F4761" w:themeColor="accent1" w:themeShade="BF"/>
          <w:sz w:val="32"/>
          <w:szCs w:val="32"/>
          <w:u w:val="single"/>
          <w:lang w:val="sl-SI"/>
        </w:rPr>
        <w:lastRenderedPageBreak/>
        <w:t>Skupni učinki</w:t>
      </w:r>
    </w:p>
    <w:p w14:paraId="2AB47378" w14:textId="77777777" w:rsidR="00EF2787" w:rsidRPr="00EF2787" w:rsidRDefault="00EF2787" w:rsidP="00EF2787">
      <w:pPr>
        <w:spacing w:before="0" w:after="0" w:line="0" w:lineRule="atLeast"/>
        <w:rPr>
          <w:rFonts w:asciiTheme="majorHAnsi" w:hAnsiTheme="majorHAnsi"/>
          <w:sz w:val="22"/>
          <w:szCs w:val="22"/>
          <w:lang w:val="sl-SI"/>
        </w:rPr>
      </w:pPr>
      <w:r w:rsidRPr="00EF2787">
        <w:rPr>
          <w:rFonts w:asciiTheme="majorHAnsi" w:hAnsiTheme="majorHAnsi"/>
          <w:sz w:val="22"/>
          <w:szCs w:val="22"/>
          <w:lang w:val="sl-SI"/>
        </w:rPr>
        <w:t>Natančne finančne ocene prihranka še ni mogoče podati, pričakujejo pa se:</w:t>
      </w:r>
    </w:p>
    <w:p w14:paraId="67BE8ECB" w14:textId="77777777" w:rsidR="00EF2787" w:rsidRPr="00EF2787" w:rsidRDefault="00EF2787" w:rsidP="00EF2787">
      <w:pPr>
        <w:numPr>
          <w:ilvl w:val="0"/>
          <w:numId w:val="47"/>
        </w:numPr>
        <w:spacing w:before="0" w:after="0" w:line="0" w:lineRule="atLeast"/>
        <w:rPr>
          <w:rFonts w:asciiTheme="majorHAnsi" w:hAnsiTheme="majorHAnsi"/>
          <w:sz w:val="22"/>
          <w:szCs w:val="22"/>
          <w:lang w:val="sl-SI"/>
        </w:rPr>
      </w:pPr>
      <w:r w:rsidRPr="00EF2787">
        <w:rPr>
          <w:rFonts w:asciiTheme="majorHAnsi" w:hAnsiTheme="majorHAnsi"/>
          <w:sz w:val="22"/>
          <w:szCs w:val="22"/>
          <w:lang w:val="sl-SI"/>
        </w:rPr>
        <w:t>časovni prihranki pri pripravi prostorskih aktov,</w:t>
      </w:r>
    </w:p>
    <w:p w14:paraId="1478F789" w14:textId="77777777" w:rsidR="00EF2787" w:rsidRPr="00EF2787" w:rsidRDefault="00EF2787" w:rsidP="00EF2787">
      <w:pPr>
        <w:numPr>
          <w:ilvl w:val="0"/>
          <w:numId w:val="47"/>
        </w:numPr>
        <w:spacing w:before="0" w:after="0" w:line="0" w:lineRule="atLeast"/>
        <w:rPr>
          <w:rFonts w:asciiTheme="majorHAnsi" w:hAnsiTheme="majorHAnsi"/>
          <w:sz w:val="22"/>
          <w:szCs w:val="22"/>
          <w:lang w:val="sl-SI"/>
        </w:rPr>
      </w:pPr>
      <w:r w:rsidRPr="00EF2787">
        <w:rPr>
          <w:rFonts w:asciiTheme="majorHAnsi" w:hAnsiTheme="majorHAnsi"/>
          <w:sz w:val="22"/>
          <w:szCs w:val="22"/>
          <w:lang w:val="sl-SI"/>
        </w:rPr>
        <w:t>dolgoročni gospodarski učinki zaradi bolj učinkovite rabe prostora.</w:t>
      </w:r>
    </w:p>
    <w:p w14:paraId="7FBD0AEC" w14:textId="77777777" w:rsidR="00EF2787" w:rsidRPr="008B1C97" w:rsidRDefault="00EF2787" w:rsidP="00EF2787">
      <w:pPr>
        <w:spacing w:before="0" w:after="0" w:line="0" w:lineRule="atLeast"/>
        <w:rPr>
          <w:rFonts w:ascii="Book Antiqua" w:hAnsi="Book Antiqua"/>
          <w:sz w:val="22"/>
          <w:szCs w:val="22"/>
          <w:lang w:val="sl-SI"/>
        </w:rPr>
      </w:pPr>
    </w:p>
    <w:p w14:paraId="19959BA2" w14:textId="07C6DE10" w:rsidR="00B04CB0" w:rsidRPr="00396E52" w:rsidRDefault="00B04CB0" w:rsidP="00EF2787">
      <w:pPr>
        <w:spacing w:before="0" w:after="0" w:line="0" w:lineRule="atLeast"/>
        <w:rPr>
          <w:rFonts w:asciiTheme="majorHAnsi" w:hAnsiTheme="majorHAnsi"/>
          <w:lang w:val="sl-SI"/>
        </w:rPr>
      </w:pPr>
    </w:p>
    <w:sectPr w:rsidR="00B04CB0" w:rsidRPr="00396E52" w:rsidSect="00AD3F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D4E6F" w14:textId="77777777" w:rsidR="0001476B" w:rsidRDefault="0001476B" w:rsidP="00AD3F42">
      <w:pPr>
        <w:spacing w:before="0" w:after="0" w:line="240" w:lineRule="auto"/>
      </w:pPr>
      <w:r>
        <w:separator/>
      </w:r>
    </w:p>
  </w:endnote>
  <w:endnote w:type="continuationSeparator" w:id="0">
    <w:p w14:paraId="31F5BE10" w14:textId="77777777" w:rsidR="0001476B" w:rsidRDefault="0001476B" w:rsidP="00AD3F4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52DEF" w14:textId="77777777" w:rsidR="0001476B" w:rsidRDefault="0001476B" w:rsidP="00AD3F42">
      <w:pPr>
        <w:spacing w:before="0" w:after="0" w:line="240" w:lineRule="auto"/>
      </w:pPr>
      <w:r>
        <w:separator/>
      </w:r>
    </w:p>
  </w:footnote>
  <w:footnote w:type="continuationSeparator" w:id="0">
    <w:p w14:paraId="5B229520" w14:textId="77777777" w:rsidR="0001476B" w:rsidRDefault="0001476B" w:rsidP="00AD3F4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B505B" w14:textId="77777777" w:rsidR="00AD3F42" w:rsidRDefault="00AD3F42" w:rsidP="00147A60">
    <w:pPr>
      <w:pStyle w:val="Glava"/>
      <w:rPr>
        <w:rFonts w:cstheme="minorHAnsi"/>
        <w:sz w:val="16"/>
        <w:szCs w:val="16"/>
      </w:rPr>
    </w:pPr>
  </w:p>
  <w:p w14:paraId="67A6863A" w14:textId="77777777" w:rsidR="00AD3F42" w:rsidRDefault="00AD3F42" w:rsidP="00147A60">
    <w:pPr>
      <w:pStyle w:val="Glav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30654D8"/>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62E3927"/>
    <w:multiLevelType w:val="multilevel"/>
    <w:tmpl w:val="B1E41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BD295F"/>
    <w:multiLevelType w:val="multilevel"/>
    <w:tmpl w:val="9CF04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816947"/>
    <w:multiLevelType w:val="multilevel"/>
    <w:tmpl w:val="14B6F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2C08A5"/>
    <w:multiLevelType w:val="multilevel"/>
    <w:tmpl w:val="B3F65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7B5F88"/>
    <w:multiLevelType w:val="multilevel"/>
    <w:tmpl w:val="6CC64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BF2314"/>
    <w:multiLevelType w:val="multilevel"/>
    <w:tmpl w:val="D90C2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FF440F"/>
    <w:multiLevelType w:val="multilevel"/>
    <w:tmpl w:val="D204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1F0FFC"/>
    <w:multiLevelType w:val="multilevel"/>
    <w:tmpl w:val="BD2AA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660BF4"/>
    <w:multiLevelType w:val="multilevel"/>
    <w:tmpl w:val="5F2C9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CF6CCD"/>
    <w:multiLevelType w:val="multilevel"/>
    <w:tmpl w:val="97703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AF73E4"/>
    <w:multiLevelType w:val="multilevel"/>
    <w:tmpl w:val="7ABC2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D05F85"/>
    <w:multiLevelType w:val="multilevel"/>
    <w:tmpl w:val="70BC7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CE059D"/>
    <w:multiLevelType w:val="multilevel"/>
    <w:tmpl w:val="F788C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50767F"/>
    <w:multiLevelType w:val="multilevel"/>
    <w:tmpl w:val="4BBE1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6E1CBE"/>
    <w:multiLevelType w:val="multilevel"/>
    <w:tmpl w:val="C2E46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847FD0"/>
    <w:multiLevelType w:val="multilevel"/>
    <w:tmpl w:val="6712A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833069"/>
    <w:multiLevelType w:val="hybridMultilevel"/>
    <w:tmpl w:val="A53EEAFA"/>
    <w:lvl w:ilvl="0" w:tplc="2B245DD8">
      <w:numFmt w:val="bullet"/>
      <w:lvlText w:val="-"/>
      <w:lvlJc w:val="left"/>
      <w:pPr>
        <w:ind w:left="720" w:hanging="360"/>
      </w:pPr>
      <w:rPr>
        <w:rFonts w:ascii="Aptos" w:eastAsiaTheme="minorHAnsi" w:hAnsi="Aptos" w:cs="Aptos Narro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92707C4"/>
    <w:multiLevelType w:val="multilevel"/>
    <w:tmpl w:val="22847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5C6232"/>
    <w:multiLevelType w:val="multilevel"/>
    <w:tmpl w:val="ADD43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9C6D1F"/>
    <w:multiLevelType w:val="multilevel"/>
    <w:tmpl w:val="1082C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6F7A46"/>
    <w:multiLevelType w:val="multilevel"/>
    <w:tmpl w:val="4CD4D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723E12"/>
    <w:multiLevelType w:val="multilevel"/>
    <w:tmpl w:val="054A5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792EC6"/>
    <w:multiLevelType w:val="multilevel"/>
    <w:tmpl w:val="FAC6364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Book Antiqua" w:eastAsiaTheme="minorHAnsi" w:hAnsi="Book Antiqua"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DA63C5"/>
    <w:multiLevelType w:val="multilevel"/>
    <w:tmpl w:val="9A88F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0841CE"/>
    <w:multiLevelType w:val="multilevel"/>
    <w:tmpl w:val="5E986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AC25E6"/>
    <w:multiLevelType w:val="multilevel"/>
    <w:tmpl w:val="44DE8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2E0E11"/>
    <w:multiLevelType w:val="multilevel"/>
    <w:tmpl w:val="90688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F90DC4"/>
    <w:multiLevelType w:val="multilevel"/>
    <w:tmpl w:val="B1047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1C75C3"/>
    <w:multiLevelType w:val="multilevel"/>
    <w:tmpl w:val="F9C6E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693CD4"/>
    <w:multiLevelType w:val="multilevel"/>
    <w:tmpl w:val="B2C49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CF2627"/>
    <w:multiLevelType w:val="hybridMultilevel"/>
    <w:tmpl w:val="9B6619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2DF6E51"/>
    <w:multiLevelType w:val="multilevel"/>
    <w:tmpl w:val="D204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8A18D8"/>
    <w:multiLevelType w:val="multilevel"/>
    <w:tmpl w:val="96607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CD6298"/>
    <w:multiLevelType w:val="multilevel"/>
    <w:tmpl w:val="392A5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2F7173"/>
    <w:multiLevelType w:val="multilevel"/>
    <w:tmpl w:val="1FECE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E176F1"/>
    <w:multiLevelType w:val="multilevel"/>
    <w:tmpl w:val="79345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424263"/>
    <w:multiLevelType w:val="multilevel"/>
    <w:tmpl w:val="20DC2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DA72F1"/>
    <w:multiLevelType w:val="multilevel"/>
    <w:tmpl w:val="A64AE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06F47F0"/>
    <w:multiLevelType w:val="multilevel"/>
    <w:tmpl w:val="227A0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4A1329D"/>
    <w:multiLevelType w:val="multilevel"/>
    <w:tmpl w:val="E1C25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FD4B56"/>
    <w:multiLevelType w:val="multilevel"/>
    <w:tmpl w:val="C680D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2C54BD"/>
    <w:multiLevelType w:val="multilevel"/>
    <w:tmpl w:val="26AC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01282B"/>
    <w:multiLevelType w:val="multilevel"/>
    <w:tmpl w:val="4A40F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3C2178"/>
    <w:multiLevelType w:val="multilevel"/>
    <w:tmpl w:val="2A7C66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AB27A0"/>
    <w:multiLevelType w:val="multilevel"/>
    <w:tmpl w:val="AF166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DB5372"/>
    <w:multiLevelType w:val="multilevel"/>
    <w:tmpl w:val="E47C1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05201D"/>
    <w:multiLevelType w:val="multilevel"/>
    <w:tmpl w:val="415E0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5401521">
    <w:abstractNumId w:val="11"/>
  </w:num>
  <w:num w:numId="2" w16cid:durableId="533077018">
    <w:abstractNumId w:val="41"/>
  </w:num>
  <w:num w:numId="3" w16cid:durableId="616258738">
    <w:abstractNumId w:val="22"/>
  </w:num>
  <w:num w:numId="4" w16cid:durableId="493955492">
    <w:abstractNumId w:val="42"/>
  </w:num>
  <w:num w:numId="5" w16cid:durableId="1028604632">
    <w:abstractNumId w:val="17"/>
  </w:num>
  <w:num w:numId="6" w16cid:durableId="637421463">
    <w:abstractNumId w:val="0"/>
  </w:num>
  <w:num w:numId="7" w16cid:durableId="1655059269">
    <w:abstractNumId w:val="45"/>
  </w:num>
  <w:num w:numId="8" w16cid:durableId="1181508984">
    <w:abstractNumId w:val="12"/>
  </w:num>
  <w:num w:numId="9" w16cid:durableId="1418862511">
    <w:abstractNumId w:val="5"/>
  </w:num>
  <w:num w:numId="10" w16cid:durableId="1515539244">
    <w:abstractNumId w:val="32"/>
  </w:num>
  <w:num w:numId="11" w16cid:durableId="695421421">
    <w:abstractNumId w:val="7"/>
  </w:num>
  <w:num w:numId="12" w16cid:durableId="2063602043">
    <w:abstractNumId w:val="19"/>
  </w:num>
  <w:num w:numId="13" w16cid:durableId="1993369218">
    <w:abstractNumId w:val="30"/>
  </w:num>
  <w:num w:numId="14" w16cid:durableId="1797095238">
    <w:abstractNumId w:val="28"/>
  </w:num>
  <w:num w:numId="15" w16cid:durableId="1150172189">
    <w:abstractNumId w:val="46"/>
  </w:num>
  <w:num w:numId="16" w16cid:durableId="1904946878">
    <w:abstractNumId w:val="38"/>
  </w:num>
  <w:num w:numId="17" w16cid:durableId="233509642">
    <w:abstractNumId w:val="40"/>
  </w:num>
  <w:num w:numId="18" w16cid:durableId="1223978391">
    <w:abstractNumId w:val="14"/>
  </w:num>
  <w:num w:numId="19" w16cid:durableId="1604529622">
    <w:abstractNumId w:val="1"/>
  </w:num>
  <w:num w:numId="20" w16cid:durableId="1795102089">
    <w:abstractNumId w:val="18"/>
  </w:num>
  <w:num w:numId="21" w16cid:durableId="919480664">
    <w:abstractNumId w:val="33"/>
  </w:num>
  <w:num w:numId="22" w16cid:durableId="438379420">
    <w:abstractNumId w:val="35"/>
  </w:num>
  <w:num w:numId="23" w16cid:durableId="1678847836">
    <w:abstractNumId w:val="10"/>
  </w:num>
  <w:num w:numId="24" w16cid:durableId="975722532">
    <w:abstractNumId w:val="4"/>
  </w:num>
  <w:num w:numId="25" w16cid:durableId="1680697646">
    <w:abstractNumId w:val="16"/>
  </w:num>
  <w:num w:numId="26" w16cid:durableId="148789114">
    <w:abstractNumId w:val="8"/>
  </w:num>
  <w:num w:numId="27" w16cid:durableId="1145318706">
    <w:abstractNumId w:val="13"/>
  </w:num>
  <w:num w:numId="28" w16cid:durableId="1672756887">
    <w:abstractNumId w:val="44"/>
  </w:num>
  <w:num w:numId="29" w16cid:durableId="1698198624">
    <w:abstractNumId w:val="43"/>
  </w:num>
  <w:num w:numId="30" w16cid:durableId="827987620">
    <w:abstractNumId w:val="36"/>
  </w:num>
  <w:num w:numId="31" w16cid:durableId="1249541146">
    <w:abstractNumId w:val="25"/>
  </w:num>
  <w:num w:numId="32" w16cid:durableId="1619801428">
    <w:abstractNumId w:val="21"/>
  </w:num>
  <w:num w:numId="33" w16cid:durableId="194394350">
    <w:abstractNumId w:val="15"/>
  </w:num>
  <w:num w:numId="34" w16cid:durableId="2087679911">
    <w:abstractNumId w:val="24"/>
  </w:num>
  <w:num w:numId="35" w16cid:durableId="983656984">
    <w:abstractNumId w:val="2"/>
  </w:num>
  <w:num w:numId="36" w16cid:durableId="1511412095">
    <w:abstractNumId w:val="37"/>
  </w:num>
  <w:num w:numId="37" w16cid:durableId="1056202186">
    <w:abstractNumId w:val="27"/>
  </w:num>
  <w:num w:numId="38" w16cid:durableId="1058817044">
    <w:abstractNumId w:val="29"/>
  </w:num>
  <w:num w:numId="39" w16cid:durableId="71322498">
    <w:abstractNumId w:val="20"/>
  </w:num>
  <w:num w:numId="40" w16cid:durableId="165755161">
    <w:abstractNumId w:val="3"/>
  </w:num>
  <w:num w:numId="41" w16cid:durableId="288903317">
    <w:abstractNumId w:val="9"/>
  </w:num>
  <w:num w:numId="42" w16cid:durableId="573203689">
    <w:abstractNumId w:val="23"/>
  </w:num>
  <w:num w:numId="43" w16cid:durableId="611278075">
    <w:abstractNumId w:val="47"/>
  </w:num>
  <w:num w:numId="44" w16cid:durableId="2054882985">
    <w:abstractNumId w:val="26"/>
  </w:num>
  <w:num w:numId="45" w16cid:durableId="1389185099">
    <w:abstractNumId w:val="34"/>
  </w:num>
  <w:num w:numId="46" w16cid:durableId="209072034">
    <w:abstractNumId w:val="39"/>
  </w:num>
  <w:num w:numId="47" w16cid:durableId="2100518885">
    <w:abstractNumId w:val="6"/>
  </w:num>
  <w:num w:numId="48" w16cid:durableId="1160869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1CE"/>
    <w:rsid w:val="0001476B"/>
    <w:rsid w:val="00026B16"/>
    <w:rsid w:val="0006397E"/>
    <w:rsid w:val="000C4883"/>
    <w:rsid w:val="000E0005"/>
    <w:rsid w:val="00105A25"/>
    <w:rsid w:val="001444CC"/>
    <w:rsid w:val="002038E5"/>
    <w:rsid w:val="002157C2"/>
    <w:rsid w:val="00240CEA"/>
    <w:rsid w:val="0028039F"/>
    <w:rsid w:val="00287D7F"/>
    <w:rsid w:val="002B09E6"/>
    <w:rsid w:val="00300F02"/>
    <w:rsid w:val="0031593A"/>
    <w:rsid w:val="003923B0"/>
    <w:rsid w:val="0039537C"/>
    <w:rsid w:val="00396E52"/>
    <w:rsid w:val="003C4CC5"/>
    <w:rsid w:val="003C673A"/>
    <w:rsid w:val="003F0EF7"/>
    <w:rsid w:val="0040309F"/>
    <w:rsid w:val="00446A87"/>
    <w:rsid w:val="00455BAB"/>
    <w:rsid w:val="0046214C"/>
    <w:rsid w:val="004F3A2D"/>
    <w:rsid w:val="00551916"/>
    <w:rsid w:val="005D7D0B"/>
    <w:rsid w:val="006301BD"/>
    <w:rsid w:val="0063162F"/>
    <w:rsid w:val="00633534"/>
    <w:rsid w:val="00641428"/>
    <w:rsid w:val="00656187"/>
    <w:rsid w:val="00656FD1"/>
    <w:rsid w:val="00676C54"/>
    <w:rsid w:val="00697D3B"/>
    <w:rsid w:val="006B5ED2"/>
    <w:rsid w:val="007D1625"/>
    <w:rsid w:val="007D17A4"/>
    <w:rsid w:val="007D1F42"/>
    <w:rsid w:val="008408EE"/>
    <w:rsid w:val="008551BD"/>
    <w:rsid w:val="00855687"/>
    <w:rsid w:val="008852D3"/>
    <w:rsid w:val="0089763A"/>
    <w:rsid w:val="008B2C2E"/>
    <w:rsid w:val="008D6235"/>
    <w:rsid w:val="008E5D6E"/>
    <w:rsid w:val="009101CE"/>
    <w:rsid w:val="009E4EAC"/>
    <w:rsid w:val="00AB6442"/>
    <w:rsid w:val="00AC54D8"/>
    <w:rsid w:val="00AD10CE"/>
    <w:rsid w:val="00AD3F42"/>
    <w:rsid w:val="00B00B0B"/>
    <w:rsid w:val="00B04CB0"/>
    <w:rsid w:val="00B2735E"/>
    <w:rsid w:val="00B522F1"/>
    <w:rsid w:val="00BA1C43"/>
    <w:rsid w:val="00C40D71"/>
    <w:rsid w:val="00D1706A"/>
    <w:rsid w:val="00D259A9"/>
    <w:rsid w:val="00D85BDB"/>
    <w:rsid w:val="00D970E8"/>
    <w:rsid w:val="00DA1468"/>
    <w:rsid w:val="00DB2DA0"/>
    <w:rsid w:val="00DD7BF4"/>
    <w:rsid w:val="00DE3414"/>
    <w:rsid w:val="00DF108C"/>
    <w:rsid w:val="00E029A0"/>
    <w:rsid w:val="00E13044"/>
    <w:rsid w:val="00E13ADD"/>
    <w:rsid w:val="00E34F12"/>
    <w:rsid w:val="00E47FE0"/>
    <w:rsid w:val="00E71417"/>
    <w:rsid w:val="00E74C35"/>
    <w:rsid w:val="00EF0132"/>
    <w:rsid w:val="00EF2787"/>
    <w:rsid w:val="00F24617"/>
    <w:rsid w:val="00F9747F"/>
    <w:rsid w:val="00FB52D4"/>
    <w:rsid w:val="00FC3A7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1F241"/>
  <w15:chartTrackingRefBased/>
  <w15:docId w15:val="{05488390-5F31-470D-8E13-E93A83A22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923B0"/>
    <w:pPr>
      <w:spacing w:before="160" w:line="276" w:lineRule="auto"/>
    </w:pPr>
    <w:rPr>
      <w:kern w:val="0"/>
      <w:sz w:val="20"/>
      <w:szCs w:val="20"/>
      <w:lang w:val="en-US"/>
      <w14:ligatures w14:val="none"/>
    </w:rPr>
  </w:style>
  <w:style w:type="paragraph" w:styleId="Naslov1">
    <w:name w:val="heading 1"/>
    <w:basedOn w:val="Navaden"/>
    <w:next w:val="Navaden"/>
    <w:link w:val="Naslov1Znak"/>
    <w:uiPriority w:val="9"/>
    <w:qFormat/>
    <w:rsid w:val="009101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9101CE"/>
    <w:pPr>
      <w:keepNext/>
      <w:keepLines/>
      <w:spacing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unhideWhenUsed/>
    <w:qFormat/>
    <w:rsid w:val="009101CE"/>
    <w:pPr>
      <w:keepNext/>
      <w:keepLines/>
      <w:spacing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9101CE"/>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9101CE"/>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9101CE"/>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9101CE"/>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9101CE"/>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9101CE"/>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101CE"/>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9101CE"/>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rsid w:val="009101CE"/>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9101CE"/>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9101CE"/>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9101CE"/>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9101CE"/>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9101CE"/>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9101CE"/>
    <w:rPr>
      <w:rFonts w:eastAsiaTheme="majorEastAsia" w:cstheme="majorBidi"/>
      <w:color w:val="272727" w:themeColor="text1" w:themeTint="D8"/>
    </w:rPr>
  </w:style>
  <w:style w:type="paragraph" w:styleId="Naslov">
    <w:name w:val="Title"/>
    <w:basedOn w:val="Navaden"/>
    <w:next w:val="Navaden"/>
    <w:link w:val="NaslovZnak"/>
    <w:uiPriority w:val="10"/>
    <w:qFormat/>
    <w:rsid w:val="009101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9101CE"/>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9101CE"/>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9101CE"/>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9101CE"/>
    <w:pPr>
      <w:jc w:val="center"/>
    </w:pPr>
    <w:rPr>
      <w:i/>
      <w:iCs/>
      <w:color w:val="404040" w:themeColor="text1" w:themeTint="BF"/>
    </w:rPr>
  </w:style>
  <w:style w:type="character" w:customStyle="1" w:styleId="CitatZnak">
    <w:name w:val="Citat Znak"/>
    <w:basedOn w:val="Privzetapisavaodstavka"/>
    <w:link w:val="Citat"/>
    <w:uiPriority w:val="29"/>
    <w:rsid w:val="009101CE"/>
    <w:rPr>
      <w:i/>
      <w:iCs/>
      <w:color w:val="404040" w:themeColor="text1" w:themeTint="BF"/>
    </w:rPr>
  </w:style>
  <w:style w:type="paragraph" w:styleId="Odstavekseznama">
    <w:name w:val="List Paragraph"/>
    <w:aliases w:val="numbered list,3,Bullet 1,Bullet Points,Colorful List - Accent 11,Dot pt,F5 List Paragraph,Indicator Text,Issue Action POC,List Paragraph Char Char Char,List Paragraph2,MAIN CONTENT,Normal numbered,Numbered Para 1,POCG Table Text,Bulle"/>
    <w:basedOn w:val="Navaden"/>
    <w:link w:val="OdstavekseznamaZnak"/>
    <w:uiPriority w:val="34"/>
    <w:qFormat/>
    <w:rsid w:val="009101CE"/>
    <w:pPr>
      <w:ind w:left="720"/>
      <w:contextualSpacing/>
    </w:pPr>
  </w:style>
  <w:style w:type="character" w:styleId="Intenzivenpoudarek">
    <w:name w:val="Intense Emphasis"/>
    <w:basedOn w:val="Privzetapisavaodstavka"/>
    <w:uiPriority w:val="21"/>
    <w:qFormat/>
    <w:rsid w:val="009101CE"/>
    <w:rPr>
      <w:i/>
      <w:iCs/>
      <w:color w:val="0F4761" w:themeColor="accent1" w:themeShade="BF"/>
    </w:rPr>
  </w:style>
  <w:style w:type="paragraph" w:styleId="Intenzivencitat">
    <w:name w:val="Intense Quote"/>
    <w:basedOn w:val="Navaden"/>
    <w:next w:val="Navaden"/>
    <w:link w:val="IntenzivencitatZnak"/>
    <w:uiPriority w:val="30"/>
    <w:qFormat/>
    <w:rsid w:val="009101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9101CE"/>
    <w:rPr>
      <w:i/>
      <w:iCs/>
      <w:color w:val="0F4761" w:themeColor="accent1" w:themeShade="BF"/>
    </w:rPr>
  </w:style>
  <w:style w:type="character" w:styleId="Intenzivensklic">
    <w:name w:val="Intense Reference"/>
    <w:basedOn w:val="Privzetapisavaodstavka"/>
    <w:uiPriority w:val="32"/>
    <w:qFormat/>
    <w:rsid w:val="009101CE"/>
    <w:rPr>
      <w:b/>
      <w:bCs/>
      <w:smallCaps/>
      <w:color w:val="0F4761" w:themeColor="accent1" w:themeShade="BF"/>
      <w:spacing w:val="5"/>
    </w:rPr>
  </w:style>
  <w:style w:type="paragraph" w:styleId="Revizija">
    <w:name w:val="Revision"/>
    <w:hidden/>
    <w:uiPriority w:val="99"/>
    <w:semiHidden/>
    <w:rsid w:val="00B2735E"/>
    <w:pPr>
      <w:spacing w:after="0" w:line="240" w:lineRule="auto"/>
    </w:pPr>
    <w:rPr>
      <w:kern w:val="0"/>
      <w:sz w:val="20"/>
      <w:szCs w:val="20"/>
      <w:lang w:val="en-US"/>
      <w14:ligatures w14:val="none"/>
    </w:rPr>
  </w:style>
  <w:style w:type="paragraph" w:styleId="Glava">
    <w:name w:val="header"/>
    <w:basedOn w:val="Navaden"/>
    <w:link w:val="GlavaZnak"/>
    <w:uiPriority w:val="99"/>
    <w:unhideWhenUsed/>
    <w:rsid w:val="00AD3F42"/>
    <w:pPr>
      <w:tabs>
        <w:tab w:val="center" w:pos="4536"/>
        <w:tab w:val="right" w:pos="9072"/>
      </w:tabs>
      <w:spacing w:before="0" w:after="0" w:line="240" w:lineRule="auto"/>
    </w:pPr>
  </w:style>
  <w:style w:type="character" w:customStyle="1" w:styleId="GlavaZnak">
    <w:name w:val="Glava Znak"/>
    <w:basedOn w:val="Privzetapisavaodstavka"/>
    <w:link w:val="Glava"/>
    <w:uiPriority w:val="99"/>
    <w:rsid w:val="00AD3F42"/>
    <w:rPr>
      <w:kern w:val="0"/>
      <w:sz w:val="20"/>
      <w:szCs w:val="20"/>
      <w:lang w:val="en-US"/>
      <w14:ligatures w14:val="none"/>
    </w:rPr>
  </w:style>
  <w:style w:type="paragraph" w:styleId="Noga">
    <w:name w:val="footer"/>
    <w:basedOn w:val="Navaden"/>
    <w:link w:val="NogaZnak"/>
    <w:uiPriority w:val="99"/>
    <w:unhideWhenUsed/>
    <w:rsid w:val="00AD3F42"/>
    <w:pPr>
      <w:tabs>
        <w:tab w:val="center" w:pos="4536"/>
        <w:tab w:val="right" w:pos="9072"/>
      </w:tabs>
      <w:spacing w:before="0" w:after="0" w:line="240" w:lineRule="auto"/>
    </w:pPr>
  </w:style>
  <w:style w:type="character" w:customStyle="1" w:styleId="NogaZnak">
    <w:name w:val="Noga Znak"/>
    <w:basedOn w:val="Privzetapisavaodstavka"/>
    <w:link w:val="Noga"/>
    <w:uiPriority w:val="99"/>
    <w:rsid w:val="00AD3F42"/>
    <w:rPr>
      <w:kern w:val="0"/>
      <w:sz w:val="20"/>
      <w:szCs w:val="20"/>
      <w:lang w:val="en-US"/>
      <w14:ligatures w14:val="none"/>
    </w:rPr>
  </w:style>
  <w:style w:type="paragraph" w:styleId="Oznaenseznam">
    <w:name w:val="List Bullet"/>
    <w:basedOn w:val="Navaden"/>
    <w:uiPriority w:val="99"/>
    <w:unhideWhenUsed/>
    <w:rsid w:val="007D17A4"/>
    <w:pPr>
      <w:numPr>
        <w:numId w:val="6"/>
      </w:numPr>
      <w:tabs>
        <w:tab w:val="clear" w:pos="360"/>
      </w:tabs>
      <w:spacing w:before="0" w:after="200"/>
      <w:ind w:left="0" w:firstLine="0"/>
      <w:contextualSpacing/>
    </w:pPr>
    <w:rPr>
      <w:rFonts w:eastAsiaTheme="minorEastAsia"/>
      <w:sz w:val="22"/>
      <w:szCs w:val="22"/>
    </w:rPr>
  </w:style>
  <w:style w:type="table" w:styleId="Tabelamrea">
    <w:name w:val="Table Grid"/>
    <w:basedOn w:val="Navadnatabela"/>
    <w:uiPriority w:val="39"/>
    <w:rsid w:val="00D259A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seznamaZnak">
    <w:name w:val="Odstavek seznama Znak"/>
    <w:aliases w:val="numbered list Znak,3 Znak,Bullet 1 Znak,Bullet Points Znak,Colorful List - Accent 11 Znak,Dot pt Znak,F5 List Paragraph Znak,Indicator Text Znak,Issue Action POC Znak,List Paragraph Char Char Char Znak,List Paragraph2 Znak"/>
    <w:basedOn w:val="Privzetapisavaodstavka"/>
    <w:link w:val="Odstavekseznama"/>
    <w:uiPriority w:val="34"/>
    <w:qFormat/>
    <w:locked/>
    <w:rsid w:val="00396E52"/>
    <w:rPr>
      <w:kern w:val="0"/>
      <w:sz w:val="20"/>
      <w:szCs w:val="20"/>
      <w:lang w:val="en-US"/>
      <w14:ligatures w14:val="none"/>
    </w:rPr>
  </w:style>
  <w:style w:type="character" w:styleId="Hiperpovezava">
    <w:name w:val="Hyperlink"/>
    <w:basedOn w:val="Privzetapisavaodstavka"/>
    <w:uiPriority w:val="99"/>
    <w:unhideWhenUsed/>
    <w:rsid w:val="008551B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414</Words>
  <Characters>2366</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Peharc</dc:creator>
  <cp:keywords/>
  <dc:description/>
  <cp:lastModifiedBy>Barbara Peharc</cp:lastModifiedBy>
  <cp:revision>11</cp:revision>
  <cp:lastPrinted>2026-05-28T06:30:00Z</cp:lastPrinted>
  <dcterms:created xsi:type="dcterms:W3CDTF">2026-05-22T08:46:00Z</dcterms:created>
  <dcterms:modified xsi:type="dcterms:W3CDTF">2026-05-28T07:42:00Z</dcterms:modified>
</cp:coreProperties>
</file>