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007638E2">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2542918D" w14:textId="15F863AB" w:rsidR="005D7D0B" w:rsidRDefault="007D1625" w:rsidP="007D1625">
      <w:pPr>
        <w:tabs>
          <w:tab w:val="left" w:pos="283"/>
        </w:tabs>
        <w:autoSpaceDE w:val="0"/>
        <w:autoSpaceDN w:val="0"/>
        <w:adjustRightInd w:val="0"/>
        <w:jc w:val="center"/>
        <w:textAlignment w:val="center"/>
        <w:rPr>
          <w:rFonts w:cs="Arial"/>
          <w:color w:val="000000"/>
          <w:szCs w:val="22"/>
          <w:lang w:val="sl-SI" w:eastAsia="sl-SI"/>
        </w:rPr>
      </w:pPr>
      <w:r w:rsidRPr="007D1625">
        <w:rPr>
          <w:rFonts w:cs="Aptos Narrow"/>
          <w:b/>
          <w:color w:val="000000"/>
          <w:sz w:val="36"/>
          <w:szCs w:val="36"/>
          <w:lang w:val="sl-SI"/>
          <w14:ligatures w14:val="standardContextual"/>
        </w:rPr>
        <w:t>Priprava predloga Zakona o ukrepih za optimizacijo določenih postopkov na upravnih enotah (ZUOPUE) in posredovanje v sprejem v Državni zbor RS</w:t>
      </w:r>
    </w:p>
    <w:p w14:paraId="0EAD5F72"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46E1FC47"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3B2715B8" w14:textId="77777777" w:rsidR="00DF108C" w:rsidRDefault="00DF108C" w:rsidP="00AD3F42">
      <w:pPr>
        <w:tabs>
          <w:tab w:val="left" w:pos="283"/>
        </w:tabs>
        <w:autoSpaceDE w:val="0"/>
        <w:autoSpaceDN w:val="0"/>
        <w:adjustRightInd w:val="0"/>
        <w:jc w:val="both"/>
        <w:textAlignment w:val="center"/>
        <w:rPr>
          <w:rFonts w:cs="Arial"/>
          <w:color w:val="000000"/>
          <w:szCs w:val="22"/>
          <w:lang w:val="sl-SI" w:eastAsia="sl-SI"/>
        </w:rPr>
      </w:pPr>
    </w:p>
    <w:p w14:paraId="166D65D3"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278CD519"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7FAABA6" w14:textId="77777777" w:rsidR="007D1625" w:rsidRDefault="007D1625" w:rsidP="00AD3F42">
      <w:pPr>
        <w:tabs>
          <w:tab w:val="left" w:pos="283"/>
        </w:tabs>
        <w:autoSpaceDE w:val="0"/>
        <w:autoSpaceDN w:val="0"/>
        <w:adjustRightInd w:val="0"/>
        <w:jc w:val="both"/>
        <w:textAlignment w:val="center"/>
        <w:rPr>
          <w:rFonts w:cs="Arial"/>
          <w:color w:val="000000"/>
          <w:szCs w:val="22"/>
          <w:lang w:val="sl-SI" w:eastAsia="sl-SI"/>
        </w:rPr>
      </w:pPr>
    </w:p>
    <w:p w14:paraId="5491CA55" w14:textId="77777777" w:rsidR="00B522F1" w:rsidRPr="001444CC" w:rsidRDefault="00B522F1"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39007BAD" w:rsidR="00D259A9" w:rsidRPr="00697D3B" w:rsidRDefault="008F1D9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76862FB4" w:rsidR="00D259A9" w:rsidRPr="00697D3B" w:rsidRDefault="007D1625" w:rsidP="000E0300">
            <w:pPr>
              <w:rPr>
                <w:rFonts w:cs="Arial"/>
                <w:sz w:val="22"/>
                <w:szCs w:val="22"/>
                <w:lang w:val="sl-SI"/>
              </w:rPr>
            </w:pPr>
            <w:r w:rsidRPr="00697D3B">
              <w:rPr>
                <w:rFonts w:cs="Arial"/>
                <w:sz w:val="22"/>
                <w:szCs w:val="22"/>
                <w:lang w:val="sl-SI"/>
              </w:rPr>
              <w:t>Ministrstvo za javno upravo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199F0A68" w14:textId="77777777" w:rsidR="007D1625" w:rsidRPr="007D1625" w:rsidRDefault="007D1625" w:rsidP="007D1625">
      <w:pPr>
        <w:spacing w:before="0" w:after="0" w:line="0" w:lineRule="atLeast"/>
        <w:rPr>
          <w:rFonts w:asciiTheme="majorHAnsi" w:hAnsiTheme="majorHAnsi"/>
          <w:color w:val="0F4761" w:themeColor="accent1" w:themeShade="BF"/>
          <w:sz w:val="32"/>
          <w:szCs w:val="32"/>
          <w:u w:val="single"/>
          <w:lang w:val="sl-SI"/>
        </w:rPr>
      </w:pPr>
      <w:r w:rsidRPr="007D1625">
        <w:rPr>
          <w:rFonts w:asciiTheme="majorHAnsi" w:hAnsiTheme="majorHAnsi"/>
          <w:color w:val="0F4761" w:themeColor="accent1" w:themeShade="BF"/>
          <w:sz w:val="32"/>
          <w:szCs w:val="32"/>
          <w:u w:val="single"/>
          <w:lang w:val="sl-SI"/>
        </w:rPr>
        <w:t>Opis sprememb</w:t>
      </w:r>
    </w:p>
    <w:p w14:paraId="055EE664" w14:textId="77777777" w:rsidR="007D1625" w:rsidRPr="007D1625" w:rsidRDefault="007D1625" w:rsidP="007D1625">
      <w:pPr>
        <w:spacing w:before="0" w:after="0" w:line="0" w:lineRule="atLeast"/>
        <w:jc w:val="both"/>
        <w:rPr>
          <w:rFonts w:asciiTheme="majorHAnsi" w:hAnsiTheme="majorHAnsi"/>
          <w:sz w:val="22"/>
          <w:szCs w:val="22"/>
          <w:lang w:val="sl-SI"/>
        </w:rPr>
      </w:pPr>
      <w:r w:rsidRPr="007D1625">
        <w:rPr>
          <w:rFonts w:asciiTheme="majorHAnsi" w:hAnsiTheme="majorHAnsi"/>
          <w:sz w:val="22"/>
          <w:szCs w:val="22"/>
          <w:lang w:val="sl-SI"/>
        </w:rPr>
        <w:t>Zakon o ukrepih za optimizacijo določenih postopkov na upravnih enotah (ZUOPUE), sprejet julija 2024, je uvedel ukrepe za:</w:t>
      </w:r>
    </w:p>
    <w:p w14:paraId="24B93D0E" w14:textId="77777777" w:rsidR="007D1625" w:rsidRPr="007D1625" w:rsidRDefault="007D1625" w:rsidP="007D1625">
      <w:pPr>
        <w:numPr>
          <w:ilvl w:val="0"/>
          <w:numId w:val="29"/>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razbremenitev upravnih enot,</w:t>
      </w:r>
    </w:p>
    <w:p w14:paraId="71681ACC" w14:textId="77777777" w:rsidR="007D1625" w:rsidRPr="007D1625" w:rsidRDefault="007D1625" w:rsidP="007D1625">
      <w:pPr>
        <w:numPr>
          <w:ilvl w:val="0"/>
          <w:numId w:val="29"/>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odpravo krajevne pristojnosti pri določenih upravnih postopkih,</w:t>
      </w:r>
    </w:p>
    <w:p w14:paraId="41D906B6" w14:textId="77777777" w:rsidR="007D1625" w:rsidRPr="007D1625" w:rsidRDefault="007D1625" w:rsidP="007D1625">
      <w:pPr>
        <w:numPr>
          <w:ilvl w:val="0"/>
          <w:numId w:val="29"/>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pospešitev izdaje dovoljenj za prebivanje in delo tujcev.</w:t>
      </w:r>
    </w:p>
    <w:p w14:paraId="3DE33EAC" w14:textId="77777777" w:rsidR="007D1625" w:rsidRPr="007D1625" w:rsidRDefault="007D1625" w:rsidP="007D1625">
      <w:pPr>
        <w:spacing w:before="0" w:after="0" w:line="0" w:lineRule="atLeast"/>
        <w:rPr>
          <w:rFonts w:asciiTheme="majorHAnsi" w:hAnsiTheme="majorHAnsi"/>
          <w:sz w:val="22"/>
          <w:szCs w:val="22"/>
          <w:lang w:val="sl-SI"/>
        </w:rPr>
      </w:pPr>
    </w:p>
    <w:p w14:paraId="51E81C0F" w14:textId="77777777" w:rsidR="007D1625" w:rsidRPr="007D1625" w:rsidRDefault="007D1625" w:rsidP="007D1625">
      <w:pPr>
        <w:spacing w:before="0" w:after="0" w:line="0" w:lineRule="atLeast"/>
        <w:jc w:val="both"/>
        <w:rPr>
          <w:rFonts w:asciiTheme="majorHAnsi" w:hAnsiTheme="majorHAnsi"/>
          <w:sz w:val="22"/>
          <w:szCs w:val="22"/>
          <w:lang w:val="sl-SI"/>
        </w:rPr>
      </w:pPr>
      <w:r w:rsidRPr="007D1625">
        <w:rPr>
          <w:rFonts w:asciiTheme="majorHAnsi" w:hAnsiTheme="majorHAnsi"/>
          <w:sz w:val="22"/>
          <w:szCs w:val="22"/>
          <w:lang w:val="sl-SI"/>
        </w:rPr>
        <w:t>Glavni cilj zakona je zagotoviti učinkovitejše postopke za pridobitev enotnih dovoljenj za prebivanje in delo tujcev, kar je ključno za konkurenčnost slovenskega gospodarstva. Z odpravo krajevne pristojnosti je omogočena enakomernejša obremenitev upravnih enot, kar naj bi skrajšalo čas obravnave vlog in zmanjšalo administrativne zaostanke.</w:t>
      </w:r>
    </w:p>
    <w:p w14:paraId="5089418B" w14:textId="77777777" w:rsidR="007D1625" w:rsidRPr="007D1625" w:rsidRDefault="007D1625" w:rsidP="007D1625">
      <w:pPr>
        <w:spacing w:before="0" w:after="0" w:line="0" w:lineRule="atLeast"/>
        <w:jc w:val="both"/>
        <w:rPr>
          <w:rFonts w:asciiTheme="majorHAnsi" w:hAnsiTheme="majorHAnsi"/>
          <w:sz w:val="22"/>
          <w:szCs w:val="22"/>
          <w:lang w:val="sl-SI"/>
        </w:rPr>
      </w:pPr>
    </w:p>
    <w:p w14:paraId="3CA44005" w14:textId="77777777" w:rsidR="007D1625" w:rsidRPr="007D1625" w:rsidRDefault="007D1625" w:rsidP="007D1625">
      <w:pPr>
        <w:spacing w:before="0" w:after="0" w:line="0" w:lineRule="atLeast"/>
        <w:jc w:val="both"/>
        <w:rPr>
          <w:rFonts w:asciiTheme="majorHAnsi" w:hAnsiTheme="majorHAnsi"/>
          <w:sz w:val="22"/>
          <w:szCs w:val="22"/>
          <w:lang w:val="sl-SI"/>
        </w:rPr>
      </w:pPr>
      <w:r w:rsidRPr="007D1625">
        <w:rPr>
          <w:rFonts w:asciiTheme="majorHAnsi" w:hAnsiTheme="majorHAnsi"/>
          <w:sz w:val="22"/>
          <w:szCs w:val="22"/>
          <w:lang w:val="sl-SI"/>
        </w:rPr>
        <w:t>Po novi ureditvi lahko tujec zaprosi za izdajo ali podaljšanje dovoljenja na katerikoli upravni enoti, ne glede na kraj prebivanja ali sedež delodajalca. Uvedena je tudi možnost prenosa postopkov med upravnimi enotami v primeru preobremenjenosti.</w:t>
      </w:r>
    </w:p>
    <w:p w14:paraId="0438E772" w14:textId="77777777" w:rsidR="007D1625" w:rsidRPr="007D1625" w:rsidRDefault="007D1625" w:rsidP="007D1625">
      <w:pPr>
        <w:spacing w:before="0" w:after="0" w:line="0" w:lineRule="atLeast"/>
        <w:rPr>
          <w:rFonts w:asciiTheme="majorHAnsi" w:hAnsiTheme="majorHAnsi"/>
          <w:sz w:val="22"/>
          <w:szCs w:val="22"/>
          <w:lang w:val="sl-SI"/>
        </w:rPr>
      </w:pPr>
    </w:p>
    <w:p w14:paraId="1613BBE9" w14:textId="77777777" w:rsidR="007D1625" w:rsidRPr="007D1625" w:rsidRDefault="007D1625" w:rsidP="007D1625">
      <w:pPr>
        <w:spacing w:before="0" w:after="0" w:line="0" w:lineRule="atLeast"/>
        <w:rPr>
          <w:rFonts w:asciiTheme="majorHAnsi" w:hAnsiTheme="majorHAnsi"/>
          <w:color w:val="0F4761" w:themeColor="accent1" w:themeShade="BF"/>
          <w:sz w:val="32"/>
          <w:szCs w:val="32"/>
          <w:u w:val="single"/>
          <w:lang w:val="sl-SI"/>
        </w:rPr>
      </w:pPr>
      <w:r w:rsidRPr="007D1625">
        <w:rPr>
          <w:rFonts w:asciiTheme="majorHAnsi" w:hAnsiTheme="majorHAnsi"/>
          <w:color w:val="0F4761" w:themeColor="accent1" w:themeShade="BF"/>
          <w:sz w:val="32"/>
          <w:szCs w:val="32"/>
          <w:u w:val="single"/>
          <w:lang w:val="sl-SI"/>
        </w:rPr>
        <w:t>Zakonodaja, ki jo je bilo potrebno spremeniti</w:t>
      </w:r>
    </w:p>
    <w:p w14:paraId="0E1C95AA" w14:textId="77777777" w:rsidR="007D1625" w:rsidRPr="007D1625" w:rsidRDefault="007D1625" w:rsidP="007D1625">
      <w:pPr>
        <w:numPr>
          <w:ilvl w:val="0"/>
          <w:numId w:val="30"/>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Nov Zakon o ukrepih za optimizacijo določenih postopkov na upravnih enotah (</w:t>
      </w:r>
      <w:r w:rsidRPr="007D1625">
        <w:rPr>
          <w:rFonts w:asciiTheme="majorHAnsi" w:eastAsia="Book Antiqua" w:hAnsiTheme="majorHAnsi" w:cs="Book Antiqua"/>
          <w:sz w:val="22"/>
          <w:szCs w:val="22"/>
          <w:lang w:val="sl-SI"/>
        </w:rPr>
        <w:t xml:space="preserve">Uradni list RS, št. 62/24; </w:t>
      </w:r>
      <w:r w:rsidRPr="007D1625">
        <w:rPr>
          <w:rFonts w:asciiTheme="majorHAnsi" w:hAnsiTheme="majorHAnsi"/>
          <w:sz w:val="22"/>
          <w:szCs w:val="22"/>
          <w:lang w:val="sl-SI"/>
        </w:rPr>
        <w:t>ZUOPUE)</w:t>
      </w:r>
    </w:p>
    <w:p w14:paraId="79A66130" w14:textId="77777777" w:rsidR="007D1625" w:rsidRPr="007D1625" w:rsidRDefault="007D1625" w:rsidP="007D1625">
      <w:pPr>
        <w:numPr>
          <w:ilvl w:val="0"/>
          <w:numId w:val="30"/>
        </w:numPr>
        <w:spacing w:before="0" w:after="0" w:line="0" w:lineRule="atLeast"/>
        <w:jc w:val="both"/>
        <w:rPr>
          <w:rFonts w:asciiTheme="majorHAnsi" w:hAnsiTheme="majorHAnsi"/>
          <w:sz w:val="22"/>
          <w:szCs w:val="22"/>
          <w:lang w:val="sl-SI"/>
        </w:rPr>
      </w:pPr>
      <w:r w:rsidRPr="007D1625">
        <w:rPr>
          <w:rFonts w:asciiTheme="majorHAnsi" w:hAnsiTheme="majorHAnsi"/>
          <w:sz w:val="22"/>
          <w:szCs w:val="22"/>
          <w:lang w:val="sl-SI"/>
        </w:rPr>
        <w:t>Upoštevanje določb Zakona o državni upravi (51. člen) za prenos postopkov med upravnimi enotami</w:t>
      </w:r>
    </w:p>
    <w:p w14:paraId="7EEB64BF" w14:textId="77777777" w:rsidR="007D1625" w:rsidRPr="007D1625" w:rsidRDefault="007D1625" w:rsidP="007D1625">
      <w:pPr>
        <w:spacing w:before="0" w:after="0" w:line="0" w:lineRule="atLeast"/>
        <w:rPr>
          <w:rFonts w:asciiTheme="majorHAnsi" w:hAnsiTheme="majorHAnsi"/>
          <w:sz w:val="22"/>
          <w:szCs w:val="22"/>
          <w:lang w:val="sl-SI"/>
        </w:rPr>
      </w:pPr>
    </w:p>
    <w:p w14:paraId="2784EC66" w14:textId="77777777" w:rsidR="007D1625" w:rsidRPr="007D1625" w:rsidRDefault="007D1625" w:rsidP="007D1625">
      <w:pPr>
        <w:spacing w:before="0" w:after="0" w:line="0" w:lineRule="atLeast"/>
        <w:rPr>
          <w:rFonts w:asciiTheme="majorHAnsi" w:hAnsiTheme="majorHAnsi"/>
          <w:color w:val="0F4761" w:themeColor="accent1" w:themeShade="BF"/>
          <w:sz w:val="32"/>
          <w:szCs w:val="32"/>
          <w:u w:val="single"/>
          <w:lang w:val="sl-SI"/>
        </w:rPr>
      </w:pPr>
      <w:r w:rsidRPr="007D1625">
        <w:rPr>
          <w:rFonts w:asciiTheme="majorHAnsi" w:hAnsiTheme="majorHAnsi"/>
          <w:color w:val="0F4761" w:themeColor="accent1" w:themeShade="BF"/>
          <w:sz w:val="32"/>
          <w:szCs w:val="32"/>
          <w:u w:val="single"/>
          <w:lang w:val="sl-SI"/>
        </w:rPr>
        <w:t>Bistvo administrativne razbremenitve</w:t>
      </w:r>
    </w:p>
    <w:p w14:paraId="316DC605" w14:textId="77777777" w:rsidR="007D1625" w:rsidRPr="007D1625" w:rsidRDefault="007D1625" w:rsidP="007D1625">
      <w:pPr>
        <w:numPr>
          <w:ilvl w:val="0"/>
          <w:numId w:val="31"/>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Odprava krajevne pristojnosti za izdajo enotnih dovoljenj za prebivanje in delo – možnost vložitve vloge na katerikoli Upravni enoti</w:t>
      </w:r>
    </w:p>
    <w:p w14:paraId="5B5273CC" w14:textId="77777777" w:rsidR="007D1625" w:rsidRPr="007D1625" w:rsidRDefault="007D1625" w:rsidP="007D1625">
      <w:pPr>
        <w:numPr>
          <w:ilvl w:val="0"/>
          <w:numId w:val="31"/>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Poenostavitev postopkov za tujce – hitrejše reševanje vlog</w:t>
      </w:r>
    </w:p>
    <w:p w14:paraId="05314BFA" w14:textId="77777777" w:rsidR="007D1625" w:rsidRPr="007D1625" w:rsidRDefault="007D1625" w:rsidP="007D1625">
      <w:pPr>
        <w:pStyle w:val="Odstavekseznama"/>
        <w:numPr>
          <w:ilvl w:val="0"/>
          <w:numId w:val="31"/>
        </w:numPr>
        <w:spacing w:before="0" w:after="0" w:line="240" w:lineRule="auto"/>
        <w:jc w:val="both"/>
        <w:rPr>
          <w:rFonts w:asciiTheme="majorHAnsi" w:eastAsia="Times New Roman" w:hAnsiTheme="majorHAnsi" w:cstheme="majorHAnsi"/>
          <w:sz w:val="22"/>
          <w:szCs w:val="22"/>
          <w:lang w:val="sl-SI" w:eastAsia="sl-SI"/>
        </w:rPr>
      </w:pPr>
      <w:r w:rsidRPr="007D1625">
        <w:rPr>
          <w:rFonts w:asciiTheme="majorHAnsi" w:hAnsiTheme="majorHAnsi" w:cstheme="majorHAnsi"/>
          <w:sz w:val="22"/>
          <w:szCs w:val="22"/>
          <w:lang w:val="sl-SI"/>
        </w:rPr>
        <w:t>Omogočiti hitrejšo izdajo enotnih dovoljenj za prebivanje in delo tujcev</w:t>
      </w:r>
    </w:p>
    <w:p w14:paraId="4F3C7AC1" w14:textId="77777777" w:rsidR="007D1625" w:rsidRPr="007D1625" w:rsidRDefault="007D1625" w:rsidP="007D1625">
      <w:pPr>
        <w:numPr>
          <w:ilvl w:val="0"/>
          <w:numId w:val="31"/>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Enakomernejša porazdelitev dela med upravnimi enotami</w:t>
      </w:r>
    </w:p>
    <w:p w14:paraId="5E3E1C26" w14:textId="77777777" w:rsidR="007D1625" w:rsidRPr="007D1625" w:rsidRDefault="007D1625" w:rsidP="007D1625">
      <w:pPr>
        <w:numPr>
          <w:ilvl w:val="0"/>
          <w:numId w:val="31"/>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Zmanjšanje števila statusnih povpraševanj in dopolnitev vlog</w:t>
      </w:r>
    </w:p>
    <w:p w14:paraId="0FCAB613" w14:textId="77777777" w:rsidR="007D1625" w:rsidRPr="007D1625" w:rsidRDefault="007D1625" w:rsidP="007D1625">
      <w:pPr>
        <w:numPr>
          <w:ilvl w:val="0"/>
          <w:numId w:val="31"/>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Povečanje zadovoljstva uporabnikov</w:t>
      </w:r>
    </w:p>
    <w:p w14:paraId="6EB7A954" w14:textId="77777777" w:rsidR="007D1625" w:rsidRPr="007D1625" w:rsidRDefault="007D1625" w:rsidP="007D1625">
      <w:pPr>
        <w:spacing w:before="0" w:after="0" w:line="0" w:lineRule="atLeast"/>
        <w:rPr>
          <w:rFonts w:asciiTheme="majorHAnsi" w:hAnsiTheme="majorHAnsi"/>
          <w:sz w:val="22"/>
          <w:szCs w:val="22"/>
          <w:lang w:val="sl-SI"/>
        </w:rPr>
      </w:pPr>
    </w:p>
    <w:p w14:paraId="16E7DEB9" w14:textId="77777777" w:rsidR="007D1625" w:rsidRPr="007D1625" w:rsidRDefault="007D1625" w:rsidP="007D1625">
      <w:pPr>
        <w:spacing w:before="0" w:after="0" w:line="0" w:lineRule="atLeast"/>
        <w:rPr>
          <w:rFonts w:asciiTheme="majorHAnsi" w:hAnsiTheme="majorHAnsi"/>
          <w:color w:val="0F4761" w:themeColor="accent1" w:themeShade="BF"/>
          <w:sz w:val="32"/>
          <w:szCs w:val="32"/>
          <w:u w:val="single"/>
          <w:lang w:val="sl-SI"/>
        </w:rPr>
      </w:pPr>
      <w:r w:rsidRPr="007D1625">
        <w:rPr>
          <w:rFonts w:asciiTheme="majorHAnsi" w:hAnsiTheme="majorHAnsi"/>
          <w:color w:val="0F4761" w:themeColor="accent1" w:themeShade="BF"/>
          <w:sz w:val="32"/>
          <w:szCs w:val="32"/>
          <w:u w:val="single"/>
          <w:lang w:val="sl-SI"/>
        </w:rPr>
        <w:t>Na koga sprememba vpliva</w:t>
      </w:r>
    </w:p>
    <w:p w14:paraId="58582590" w14:textId="77777777" w:rsidR="007D1625" w:rsidRPr="007D1625" w:rsidRDefault="007D1625" w:rsidP="007D1625">
      <w:pPr>
        <w:numPr>
          <w:ilvl w:val="0"/>
          <w:numId w:val="32"/>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 xml:space="preserve">Upravne enote - </w:t>
      </w:r>
      <w:r w:rsidRPr="007D1625">
        <w:rPr>
          <w:rFonts w:asciiTheme="majorHAnsi" w:hAnsiTheme="majorHAnsi" w:cstheme="majorHAnsi"/>
          <w:sz w:val="22"/>
          <w:szCs w:val="22"/>
          <w:lang w:val="sl-SI"/>
        </w:rPr>
        <w:t>razbremenitev najbolj obremenjenih upravnih enot</w:t>
      </w:r>
      <w:r w:rsidRPr="007D1625" w:rsidDel="000E590C">
        <w:rPr>
          <w:rFonts w:asciiTheme="majorHAnsi" w:hAnsiTheme="majorHAnsi"/>
          <w:sz w:val="22"/>
          <w:szCs w:val="22"/>
          <w:lang w:val="sl-SI"/>
        </w:rPr>
        <w:t xml:space="preserve"> </w:t>
      </w:r>
    </w:p>
    <w:p w14:paraId="48A5F4A8" w14:textId="77777777" w:rsidR="007D1625" w:rsidRPr="007D1625" w:rsidRDefault="007D1625" w:rsidP="007D1625">
      <w:pPr>
        <w:numPr>
          <w:ilvl w:val="0"/>
          <w:numId w:val="32"/>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Tujce, ki zaprosijo za dovoljenje za prebivanje in delo</w:t>
      </w:r>
    </w:p>
    <w:p w14:paraId="21A7A7BA" w14:textId="77777777" w:rsidR="007D1625" w:rsidRPr="007D1625" w:rsidRDefault="007D1625" w:rsidP="007D1625">
      <w:pPr>
        <w:numPr>
          <w:ilvl w:val="0"/>
          <w:numId w:val="32"/>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Delodajalce, ki hitreje zaposlujejo tujo delovno silo</w:t>
      </w:r>
    </w:p>
    <w:p w14:paraId="37DA441E" w14:textId="77777777" w:rsidR="007D1625" w:rsidRPr="007D1625" w:rsidRDefault="007D1625" w:rsidP="007D1625">
      <w:pPr>
        <w:numPr>
          <w:ilvl w:val="0"/>
          <w:numId w:val="32"/>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Posredno večjo konkurenčnost slovenskega gospodarstva</w:t>
      </w:r>
    </w:p>
    <w:p w14:paraId="4B73F98E" w14:textId="77777777" w:rsidR="007D1625" w:rsidRPr="007D1625" w:rsidRDefault="007D1625" w:rsidP="007D1625">
      <w:pPr>
        <w:spacing w:before="0" w:after="0" w:line="0" w:lineRule="atLeast"/>
        <w:rPr>
          <w:rFonts w:asciiTheme="majorHAnsi" w:hAnsiTheme="majorHAnsi"/>
          <w:sz w:val="22"/>
          <w:szCs w:val="22"/>
          <w:lang w:val="sl-SI"/>
        </w:rPr>
      </w:pPr>
    </w:p>
    <w:p w14:paraId="3B39A171" w14:textId="77777777" w:rsidR="007D1625" w:rsidRPr="007D1625" w:rsidRDefault="007D1625" w:rsidP="007D1625">
      <w:pPr>
        <w:spacing w:before="0" w:after="0" w:line="0" w:lineRule="atLeast"/>
        <w:rPr>
          <w:rFonts w:asciiTheme="majorHAnsi" w:hAnsiTheme="majorHAnsi"/>
          <w:color w:val="0F4761" w:themeColor="accent1" w:themeShade="BF"/>
          <w:sz w:val="32"/>
          <w:szCs w:val="32"/>
          <w:u w:val="single"/>
          <w:lang w:val="sl-SI"/>
        </w:rPr>
      </w:pPr>
      <w:r w:rsidRPr="007D1625">
        <w:rPr>
          <w:rFonts w:asciiTheme="majorHAnsi" w:hAnsiTheme="majorHAnsi"/>
          <w:color w:val="0F4761" w:themeColor="accent1" w:themeShade="BF"/>
          <w:sz w:val="32"/>
          <w:szCs w:val="32"/>
          <w:u w:val="single"/>
          <w:lang w:val="sl-SI"/>
        </w:rPr>
        <w:t>Skupni učinki</w:t>
      </w:r>
    </w:p>
    <w:p w14:paraId="2CF33243" w14:textId="77777777" w:rsidR="007D1625" w:rsidRPr="007D1625" w:rsidRDefault="007D1625" w:rsidP="007D1625">
      <w:p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Kvantitativni izračun prihrankov ni bilo možno podati v skladu z SCM metodologijo, vendar so pri ukrepu kljub temu zaznani naslednji kvantitativni učinki:</w:t>
      </w:r>
    </w:p>
    <w:p w14:paraId="08DBEF63" w14:textId="77777777" w:rsidR="007D1625" w:rsidRPr="007D1625" w:rsidRDefault="007D1625" w:rsidP="007D1625">
      <w:pPr>
        <w:numPr>
          <w:ilvl w:val="0"/>
          <w:numId w:val="33"/>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lastRenderedPageBreak/>
        <w:t>skrajšanje povprečnega časa reševanja  vloge za 44 % (skrajšanje za 40 dni),</w:t>
      </w:r>
    </w:p>
    <w:p w14:paraId="787B6188" w14:textId="77777777" w:rsidR="007D1625" w:rsidRPr="007D1625" w:rsidRDefault="007D1625" w:rsidP="007D1625">
      <w:pPr>
        <w:numPr>
          <w:ilvl w:val="0"/>
          <w:numId w:val="33"/>
        </w:numPr>
        <w:spacing w:before="0" w:after="0" w:line="0" w:lineRule="atLeast"/>
        <w:rPr>
          <w:rFonts w:asciiTheme="majorHAnsi" w:hAnsiTheme="majorHAnsi"/>
          <w:sz w:val="22"/>
          <w:szCs w:val="22"/>
          <w:lang w:val="sl-SI"/>
        </w:rPr>
      </w:pPr>
      <w:r w:rsidRPr="007D1625">
        <w:rPr>
          <w:rFonts w:asciiTheme="majorHAnsi" w:hAnsiTheme="majorHAnsi"/>
          <w:sz w:val="22"/>
          <w:szCs w:val="22"/>
          <w:lang w:val="sl-SI"/>
        </w:rPr>
        <w:t>zmanjšanje administrativnih zaostankov oziroma zmanjšanje števila nerešenih zadev za 30 % (upad iz 52.631 v letu 2023 na 37.142 v letu 2025).</w:t>
      </w:r>
    </w:p>
    <w:p w14:paraId="3059A3EE" w14:textId="77777777" w:rsidR="007D1625" w:rsidRPr="007D1625" w:rsidRDefault="007D1625" w:rsidP="007D1625">
      <w:pPr>
        <w:spacing w:before="0" w:after="0" w:line="0" w:lineRule="atLeast"/>
        <w:rPr>
          <w:rFonts w:asciiTheme="majorHAnsi" w:hAnsiTheme="majorHAnsi"/>
          <w:sz w:val="22"/>
          <w:szCs w:val="22"/>
          <w:lang w:val="sl-SI"/>
        </w:rPr>
      </w:pPr>
    </w:p>
    <w:p w14:paraId="79F2AF4F" w14:textId="77777777" w:rsidR="007D1625" w:rsidRPr="007D1625" w:rsidRDefault="007D1625" w:rsidP="007D1625">
      <w:pPr>
        <w:spacing w:before="0" w:after="0" w:line="0" w:lineRule="atLeast"/>
        <w:jc w:val="both"/>
        <w:rPr>
          <w:rFonts w:asciiTheme="majorHAnsi" w:hAnsiTheme="majorHAnsi"/>
          <w:sz w:val="22"/>
          <w:szCs w:val="22"/>
          <w:lang w:val="sl-SI"/>
        </w:rPr>
      </w:pPr>
      <w:r w:rsidRPr="007D1625">
        <w:rPr>
          <w:rFonts w:asciiTheme="majorHAnsi" w:hAnsiTheme="majorHAnsi"/>
          <w:sz w:val="22"/>
          <w:szCs w:val="22"/>
          <w:lang w:val="sl-SI"/>
        </w:rPr>
        <w:t>Ukrep predstavlja pomemben korak k poenostavitvi in digitalizaciji upravnih postopkov ter izboljšanju storitev za tujce in delodajalce.</w:t>
      </w:r>
    </w:p>
    <w:p w14:paraId="19959BA2" w14:textId="07C6DE10" w:rsidR="00B04CB0" w:rsidRPr="00396E52" w:rsidRDefault="00B04CB0" w:rsidP="007D1625">
      <w:pPr>
        <w:spacing w:before="0" w:after="0" w:line="0" w:lineRule="atLeast"/>
        <w:rPr>
          <w:rFonts w:asciiTheme="majorHAnsi" w:hAnsiTheme="majorHAnsi"/>
          <w:lang w:val="sl-SI"/>
        </w:rPr>
      </w:pPr>
    </w:p>
    <w:sectPr w:rsidR="00B04CB0" w:rsidRPr="00396E52"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392E" w14:textId="77777777" w:rsidR="002F421D" w:rsidRDefault="002F421D" w:rsidP="00AD3F42">
      <w:pPr>
        <w:spacing w:before="0" w:after="0" w:line="240" w:lineRule="auto"/>
      </w:pPr>
      <w:r>
        <w:separator/>
      </w:r>
    </w:p>
  </w:endnote>
  <w:endnote w:type="continuationSeparator" w:id="0">
    <w:p w14:paraId="0E3D9999" w14:textId="77777777" w:rsidR="002F421D" w:rsidRDefault="002F421D"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3260" w14:textId="77777777" w:rsidR="002F421D" w:rsidRDefault="002F421D" w:rsidP="00AD3F42">
      <w:pPr>
        <w:spacing w:before="0" w:after="0" w:line="240" w:lineRule="auto"/>
      </w:pPr>
      <w:r>
        <w:separator/>
      </w:r>
    </w:p>
  </w:footnote>
  <w:footnote w:type="continuationSeparator" w:id="0">
    <w:p w14:paraId="33FF8838" w14:textId="77777777" w:rsidR="002F421D" w:rsidRDefault="002F421D"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E3927"/>
    <w:multiLevelType w:val="multilevel"/>
    <w:tmpl w:val="B1E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08A5"/>
    <w:multiLevelType w:val="multilevel"/>
    <w:tmpl w:val="B3F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F0FFC"/>
    <w:multiLevelType w:val="multilevel"/>
    <w:tmpl w:val="BD2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6CCD"/>
    <w:multiLevelType w:val="multilevel"/>
    <w:tmpl w:val="977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E059D"/>
    <w:multiLevelType w:val="multilevel"/>
    <w:tmpl w:val="F78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0767F"/>
    <w:multiLevelType w:val="multilevel"/>
    <w:tmpl w:val="4BB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E1CBE"/>
    <w:multiLevelType w:val="multilevel"/>
    <w:tmpl w:val="C2E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47FD0"/>
    <w:multiLevelType w:val="multilevel"/>
    <w:tmpl w:val="671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2707C4"/>
    <w:multiLevelType w:val="multilevel"/>
    <w:tmpl w:val="228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7A46"/>
    <w:multiLevelType w:val="multilevel"/>
    <w:tmpl w:val="4CD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841CE"/>
    <w:multiLevelType w:val="multilevel"/>
    <w:tmpl w:val="5E9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A18D8"/>
    <w:multiLevelType w:val="multilevel"/>
    <w:tmpl w:val="966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F7173"/>
    <w:multiLevelType w:val="multilevel"/>
    <w:tmpl w:val="1F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176F1"/>
    <w:multiLevelType w:val="multilevel"/>
    <w:tmpl w:val="793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1329D"/>
    <w:multiLevelType w:val="multilevel"/>
    <w:tmpl w:val="E1C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1282B"/>
    <w:multiLevelType w:val="multilevel"/>
    <w:tmpl w:val="4A4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3C2178"/>
    <w:multiLevelType w:val="multilevel"/>
    <w:tmpl w:val="2A7C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7"/>
  </w:num>
  <w:num w:numId="2" w16cid:durableId="533077018">
    <w:abstractNumId w:val="27"/>
  </w:num>
  <w:num w:numId="3" w16cid:durableId="616258738">
    <w:abstractNumId w:val="17"/>
  </w:num>
  <w:num w:numId="4" w16cid:durableId="493955492">
    <w:abstractNumId w:val="28"/>
  </w:num>
  <w:num w:numId="5" w16cid:durableId="1028604632">
    <w:abstractNumId w:val="13"/>
  </w:num>
  <w:num w:numId="6" w16cid:durableId="637421463">
    <w:abstractNumId w:val="0"/>
  </w:num>
  <w:num w:numId="7" w16cid:durableId="1655059269">
    <w:abstractNumId w:val="31"/>
  </w:num>
  <w:num w:numId="8" w16cid:durableId="1181508984">
    <w:abstractNumId w:val="8"/>
  </w:num>
  <w:num w:numId="9" w16cid:durableId="1418862511">
    <w:abstractNumId w:val="3"/>
  </w:num>
  <w:num w:numId="10" w16cid:durableId="1515539244">
    <w:abstractNumId w:val="21"/>
  </w:num>
  <w:num w:numId="11" w16cid:durableId="695421421">
    <w:abstractNumId w:val="4"/>
  </w:num>
  <w:num w:numId="12" w16cid:durableId="2063602043">
    <w:abstractNumId w:val="15"/>
  </w:num>
  <w:num w:numId="13" w16cid:durableId="1993369218">
    <w:abstractNumId w:val="20"/>
  </w:num>
  <w:num w:numId="14" w16cid:durableId="1797095238">
    <w:abstractNumId w:val="19"/>
  </w:num>
  <w:num w:numId="15" w16cid:durableId="1150172189">
    <w:abstractNumId w:val="32"/>
  </w:num>
  <w:num w:numId="16" w16cid:durableId="1904946878">
    <w:abstractNumId w:val="25"/>
  </w:num>
  <w:num w:numId="17" w16cid:durableId="233509642">
    <w:abstractNumId w:val="26"/>
  </w:num>
  <w:num w:numId="18" w16cid:durableId="1223978391">
    <w:abstractNumId w:val="10"/>
  </w:num>
  <w:num w:numId="19" w16cid:durableId="1604529622">
    <w:abstractNumId w:val="1"/>
  </w:num>
  <w:num w:numId="20" w16cid:durableId="1795102089">
    <w:abstractNumId w:val="14"/>
  </w:num>
  <w:num w:numId="21" w16cid:durableId="919480664">
    <w:abstractNumId w:val="22"/>
  </w:num>
  <w:num w:numId="22" w16cid:durableId="438379420">
    <w:abstractNumId w:val="23"/>
  </w:num>
  <w:num w:numId="23" w16cid:durableId="1678847836">
    <w:abstractNumId w:val="6"/>
  </w:num>
  <w:num w:numId="24" w16cid:durableId="975722532">
    <w:abstractNumId w:val="2"/>
  </w:num>
  <w:num w:numId="25" w16cid:durableId="1680697646">
    <w:abstractNumId w:val="12"/>
  </w:num>
  <w:num w:numId="26" w16cid:durableId="148789114">
    <w:abstractNumId w:val="5"/>
  </w:num>
  <w:num w:numId="27" w16cid:durableId="1145318706">
    <w:abstractNumId w:val="9"/>
  </w:num>
  <w:num w:numId="28" w16cid:durableId="1672756887">
    <w:abstractNumId w:val="30"/>
  </w:num>
  <w:num w:numId="29" w16cid:durableId="1698198624">
    <w:abstractNumId w:val="29"/>
  </w:num>
  <w:num w:numId="30" w16cid:durableId="827987620">
    <w:abstractNumId w:val="24"/>
  </w:num>
  <w:num w:numId="31" w16cid:durableId="1249541146">
    <w:abstractNumId w:val="18"/>
  </w:num>
  <w:num w:numId="32" w16cid:durableId="1619801428">
    <w:abstractNumId w:val="16"/>
  </w:num>
  <w:num w:numId="33" w16cid:durableId="194394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6397E"/>
    <w:rsid w:val="000E0005"/>
    <w:rsid w:val="00105A25"/>
    <w:rsid w:val="001444CC"/>
    <w:rsid w:val="002038E5"/>
    <w:rsid w:val="002157C2"/>
    <w:rsid w:val="00240CEA"/>
    <w:rsid w:val="0028039F"/>
    <w:rsid w:val="00287D7F"/>
    <w:rsid w:val="002B09E6"/>
    <w:rsid w:val="002F421D"/>
    <w:rsid w:val="00300F02"/>
    <w:rsid w:val="0031593A"/>
    <w:rsid w:val="003923B0"/>
    <w:rsid w:val="0039537C"/>
    <w:rsid w:val="00396E52"/>
    <w:rsid w:val="003C4CC5"/>
    <w:rsid w:val="003C673A"/>
    <w:rsid w:val="0040309F"/>
    <w:rsid w:val="00455BAB"/>
    <w:rsid w:val="004F3A2D"/>
    <w:rsid w:val="00551916"/>
    <w:rsid w:val="005D7D0B"/>
    <w:rsid w:val="006301BD"/>
    <w:rsid w:val="0063162F"/>
    <w:rsid w:val="00633534"/>
    <w:rsid w:val="00641428"/>
    <w:rsid w:val="00656187"/>
    <w:rsid w:val="00656FD1"/>
    <w:rsid w:val="00697D3B"/>
    <w:rsid w:val="006B5ED2"/>
    <w:rsid w:val="00780A52"/>
    <w:rsid w:val="007D1625"/>
    <w:rsid w:val="007D17A4"/>
    <w:rsid w:val="007D1F42"/>
    <w:rsid w:val="008342A8"/>
    <w:rsid w:val="00855687"/>
    <w:rsid w:val="0089763A"/>
    <w:rsid w:val="008B2C2E"/>
    <w:rsid w:val="008D6235"/>
    <w:rsid w:val="008E5D6E"/>
    <w:rsid w:val="008F1D91"/>
    <w:rsid w:val="009101CE"/>
    <w:rsid w:val="00AC54D8"/>
    <w:rsid w:val="00AD10CE"/>
    <w:rsid w:val="00AD3F42"/>
    <w:rsid w:val="00B00B0B"/>
    <w:rsid w:val="00B04CB0"/>
    <w:rsid w:val="00B2735E"/>
    <w:rsid w:val="00B522F1"/>
    <w:rsid w:val="00BA1C43"/>
    <w:rsid w:val="00C10076"/>
    <w:rsid w:val="00C40D71"/>
    <w:rsid w:val="00D1706A"/>
    <w:rsid w:val="00D259A9"/>
    <w:rsid w:val="00D85BDB"/>
    <w:rsid w:val="00D970E8"/>
    <w:rsid w:val="00DA1468"/>
    <w:rsid w:val="00DB2DA0"/>
    <w:rsid w:val="00DD7BF4"/>
    <w:rsid w:val="00DE3414"/>
    <w:rsid w:val="00DE55AF"/>
    <w:rsid w:val="00DF108C"/>
    <w:rsid w:val="00E029A0"/>
    <w:rsid w:val="00E13044"/>
    <w:rsid w:val="00E13ADD"/>
    <w:rsid w:val="00E34F12"/>
    <w:rsid w:val="00E47FE0"/>
    <w:rsid w:val="00E71417"/>
    <w:rsid w:val="00E74C35"/>
    <w:rsid w:val="00F24617"/>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396E52"/>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415</Words>
  <Characters>2370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7</cp:revision>
  <cp:lastPrinted>2026-05-28T06:26:00Z</cp:lastPrinted>
  <dcterms:created xsi:type="dcterms:W3CDTF">2026-05-22T08:37:00Z</dcterms:created>
  <dcterms:modified xsi:type="dcterms:W3CDTF">2026-05-28T07:41:00Z</dcterms:modified>
</cp:coreProperties>
</file>