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0974610D">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05A7DEF8" w14:textId="0939E58E" w:rsidR="00D33171" w:rsidRDefault="006B6787" w:rsidP="006B6787">
      <w:pPr>
        <w:tabs>
          <w:tab w:val="left" w:pos="283"/>
        </w:tabs>
        <w:autoSpaceDE w:val="0"/>
        <w:autoSpaceDN w:val="0"/>
        <w:adjustRightInd w:val="0"/>
        <w:jc w:val="center"/>
        <w:textAlignment w:val="center"/>
        <w:rPr>
          <w:rFonts w:cs="Arial"/>
          <w:color w:val="000000"/>
          <w:szCs w:val="22"/>
          <w:lang w:val="sl-SI" w:eastAsia="sl-SI"/>
        </w:rPr>
      </w:pPr>
      <w:r w:rsidRPr="006B6787">
        <w:rPr>
          <w:rFonts w:cs="Aptos Narrow"/>
          <w:b/>
          <w:color w:val="000000"/>
          <w:sz w:val="36"/>
          <w:szCs w:val="36"/>
          <w:lang w:val="sl-SI"/>
          <w14:ligatures w14:val="standardContextual"/>
        </w:rPr>
        <w:t>Sprememba Zakona o trošarinah s ciljem omiliti visoke cene energentov z ukrepi na področju pravic iz davkov</w:t>
      </w:r>
    </w:p>
    <w:p w14:paraId="61FB49A7" w14:textId="77777777" w:rsidR="00D33171" w:rsidRDefault="00D33171" w:rsidP="00AD3F42">
      <w:pPr>
        <w:tabs>
          <w:tab w:val="left" w:pos="283"/>
        </w:tabs>
        <w:autoSpaceDE w:val="0"/>
        <w:autoSpaceDN w:val="0"/>
        <w:adjustRightInd w:val="0"/>
        <w:jc w:val="both"/>
        <w:textAlignment w:val="center"/>
        <w:rPr>
          <w:rFonts w:cs="Arial"/>
          <w:color w:val="000000"/>
          <w:szCs w:val="22"/>
          <w:lang w:val="sl-SI" w:eastAsia="sl-SI"/>
        </w:rPr>
      </w:pPr>
    </w:p>
    <w:p w14:paraId="77C87572" w14:textId="77777777" w:rsidR="005460EC" w:rsidRDefault="005460EC"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FC71CF5" w14:textId="77777777" w:rsidR="00605A65" w:rsidRDefault="00605A65" w:rsidP="0040309F">
      <w:pPr>
        <w:tabs>
          <w:tab w:val="left" w:pos="5730"/>
        </w:tabs>
        <w:rPr>
          <w:rFonts w:cs="Arial"/>
          <w:b/>
          <w:lang w:eastAsia="sl-SI"/>
        </w:rPr>
      </w:pPr>
    </w:p>
    <w:p w14:paraId="72862E7C" w14:textId="77777777" w:rsidR="00605A65" w:rsidRDefault="00605A65" w:rsidP="0040309F">
      <w:pPr>
        <w:tabs>
          <w:tab w:val="left" w:pos="5730"/>
        </w:tabs>
        <w:rPr>
          <w:rFonts w:cs="Arial"/>
          <w:b/>
          <w:lang w:eastAsia="sl-SI"/>
        </w:rPr>
      </w:pPr>
    </w:p>
    <w:p w14:paraId="0492B7B5" w14:textId="77777777" w:rsidR="006B6787" w:rsidRDefault="006B6787" w:rsidP="0040309F">
      <w:pPr>
        <w:tabs>
          <w:tab w:val="left" w:pos="5730"/>
        </w:tabs>
        <w:rPr>
          <w:rFonts w:cs="Arial"/>
          <w:b/>
          <w:lang w:eastAsia="sl-SI"/>
        </w:rPr>
      </w:pPr>
    </w:p>
    <w:p w14:paraId="554866CB" w14:textId="77777777" w:rsidR="006B6787" w:rsidRDefault="006B6787" w:rsidP="0040309F">
      <w:pPr>
        <w:tabs>
          <w:tab w:val="left" w:pos="5730"/>
        </w:tabs>
        <w:rPr>
          <w:rFonts w:cs="Arial"/>
          <w:b/>
          <w:lang w:eastAsia="sl-SI"/>
        </w:rPr>
      </w:pPr>
    </w:p>
    <w:p w14:paraId="73652357" w14:textId="77777777" w:rsidR="00605A65" w:rsidRDefault="00605A65"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2493B5B7" w14:textId="77777777" w:rsidR="00991150" w:rsidRDefault="00991150" w:rsidP="0040309F">
      <w:pPr>
        <w:tabs>
          <w:tab w:val="left" w:pos="5730"/>
        </w:tabs>
        <w:rPr>
          <w:rFonts w:cs="Arial"/>
          <w:b/>
          <w:lang w:eastAsia="sl-SI"/>
        </w:rPr>
      </w:pPr>
    </w:p>
    <w:p w14:paraId="3F5A4D42" w14:textId="77777777" w:rsidR="00991150" w:rsidRDefault="00991150"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B6F45F4" w:rsidR="00D259A9" w:rsidRPr="00697D3B" w:rsidRDefault="00F80C0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2CBA2D2D" w:rsidR="00D259A9" w:rsidRPr="00697D3B" w:rsidRDefault="00605A65" w:rsidP="000E0300">
            <w:pPr>
              <w:rPr>
                <w:rFonts w:cs="Arial"/>
                <w:sz w:val="22"/>
                <w:szCs w:val="22"/>
                <w:lang w:val="sl-SI"/>
              </w:rPr>
            </w:pPr>
            <w:r>
              <w:rPr>
                <w:rFonts w:cs="Arial"/>
                <w:color w:val="000000"/>
                <w:sz w:val="22"/>
                <w:szCs w:val="22"/>
                <w:lang w:val="sl-SI" w:eastAsia="sl-SI"/>
              </w:rPr>
              <w:t>Ministrstvo za</w:t>
            </w:r>
            <w:r w:rsidR="005460EC">
              <w:rPr>
                <w:rFonts w:cs="Arial"/>
                <w:color w:val="000000"/>
                <w:sz w:val="22"/>
                <w:szCs w:val="22"/>
                <w:lang w:val="sl-SI" w:eastAsia="sl-SI"/>
              </w:rPr>
              <w:t xml:space="preserve"> </w:t>
            </w:r>
            <w:r w:rsidR="006B6787">
              <w:rPr>
                <w:rFonts w:cs="Arial"/>
                <w:color w:val="000000"/>
                <w:sz w:val="22"/>
                <w:szCs w:val="22"/>
                <w:lang w:val="sl-SI" w:eastAsia="sl-SI"/>
              </w:rPr>
              <w:t>finance</w:t>
            </w:r>
          </w:p>
        </w:tc>
      </w:tr>
    </w:tbl>
    <w:p w14:paraId="54441373" w14:textId="77777777" w:rsidR="00656187" w:rsidRPr="00605A65" w:rsidRDefault="00656187" w:rsidP="00D259A9">
      <w:pPr>
        <w:rPr>
          <w:rFonts w:asciiTheme="majorHAnsi" w:hAnsiTheme="majorHAnsi"/>
          <w:color w:val="0F4761" w:themeColor="accent1" w:themeShade="BF"/>
          <w:sz w:val="32"/>
          <w:szCs w:val="32"/>
          <w:lang w:val="sl-SI"/>
        </w:rPr>
      </w:pPr>
    </w:p>
    <w:p w14:paraId="559C4BA4" w14:textId="77777777" w:rsidR="006B6787" w:rsidRPr="006B6787" w:rsidRDefault="006B6787" w:rsidP="006B6787">
      <w:pPr>
        <w:spacing w:before="0" w:after="0" w:line="0" w:lineRule="atLeast"/>
        <w:rPr>
          <w:rFonts w:asciiTheme="majorHAnsi" w:hAnsiTheme="majorHAnsi"/>
          <w:color w:val="0F4761" w:themeColor="accent1" w:themeShade="BF"/>
          <w:sz w:val="32"/>
          <w:szCs w:val="32"/>
          <w:u w:val="single"/>
          <w:lang w:val="sl-SI"/>
        </w:rPr>
      </w:pPr>
      <w:r w:rsidRPr="006B6787">
        <w:rPr>
          <w:rFonts w:asciiTheme="majorHAnsi" w:hAnsiTheme="majorHAnsi"/>
          <w:color w:val="0F4761" w:themeColor="accent1" w:themeShade="BF"/>
          <w:sz w:val="32"/>
          <w:szCs w:val="32"/>
          <w:u w:val="single"/>
          <w:lang w:val="sl-SI"/>
        </w:rPr>
        <w:t>Opis sprememb</w:t>
      </w:r>
    </w:p>
    <w:p w14:paraId="680EC0DF" w14:textId="77777777" w:rsidR="006B6787" w:rsidRPr="006B6787" w:rsidRDefault="006B6787" w:rsidP="006B6787">
      <w:p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Z novelo Zakona o trošarinah-1 (Uradni list RS, št. 140/22) je bila omogočena pravica do nakupa davčno označenega goriva z oprostitvijo trošarine za kmetijski sektor, in sicer:</w:t>
      </w:r>
    </w:p>
    <w:p w14:paraId="190A133D" w14:textId="77777777" w:rsidR="006B6787" w:rsidRPr="006B6787" w:rsidRDefault="006B6787" w:rsidP="006B6787">
      <w:pPr>
        <w:numPr>
          <w:ilvl w:val="0"/>
          <w:numId w:val="25"/>
        </w:num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za pogon kmetijske in gozdarske mehanizacije,</w:t>
      </w:r>
    </w:p>
    <w:p w14:paraId="3290D80A" w14:textId="77777777" w:rsidR="006B6787" w:rsidRPr="006B6787" w:rsidRDefault="006B6787" w:rsidP="006B6787">
      <w:pPr>
        <w:numPr>
          <w:ilvl w:val="0"/>
          <w:numId w:val="25"/>
        </w:num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za vozila, prirejena za prevoz čebeljih panjev.</w:t>
      </w:r>
    </w:p>
    <w:p w14:paraId="79BCB90B" w14:textId="77777777" w:rsidR="006B6787" w:rsidRPr="006B6787" w:rsidRDefault="006B6787" w:rsidP="006B6787">
      <w:pPr>
        <w:spacing w:before="0" w:after="0" w:line="0" w:lineRule="atLeast"/>
        <w:ind w:left="720"/>
        <w:jc w:val="both"/>
        <w:rPr>
          <w:rFonts w:asciiTheme="majorHAnsi" w:hAnsiTheme="majorHAnsi"/>
          <w:sz w:val="22"/>
          <w:szCs w:val="22"/>
          <w:lang w:val="sl-SI"/>
        </w:rPr>
      </w:pPr>
    </w:p>
    <w:p w14:paraId="5813CACA" w14:textId="77777777" w:rsidR="006B6787" w:rsidRPr="006B6787" w:rsidRDefault="006B6787" w:rsidP="006B6787">
      <w:p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Ukrep je nadgradil obstoječa pravila določanja normativne porabe goriva za kmetijstvo in omogočil takojšnjo trošarinsko ugodnost ob nakupu goriva, namesto z zamikom prek zahtevka za vračilo trošarine za preteklo leto. Od 1. januarja 2023 se trošarina za gorivo za kmetijstvo določa v višini trošarine za plinsko olje kot gorivo za ogrevanje.</w:t>
      </w:r>
    </w:p>
    <w:p w14:paraId="0A578186" w14:textId="77777777" w:rsidR="006B6787" w:rsidRPr="006B6787" w:rsidRDefault="006B6787" w:rsidP="006B6787">
      <w:p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br/>
        <w:t>Z ukrepom se je drobnoprodajna cena goriva za kmetijstvo:</w:t>
      </w:r>
    </w:p>
    <w:p w14:paraId="5A10B8DC" w14:textId="77777777" w:rsidR="006B6787" w:rsidRPr="006B6787" w:rsidRDefault="006B6787" w:rsidP="006B6787">
      <w:pPr>
        <w:numPr>
          <w:ilvl w:val="0"/>
          <w:numId w:val="26"/>
        </w:num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na dan 1. januarja 2023 znižala za 11,4 %,</w:t>
      </w:r>
    </w:p>
    <w:p w14:paraId="4E90BF31" w14:textId="77777777" w:rsidR="006B6787" w:rsidRPr="006B6787" w:rsidRDefault="006B6787" w:rsidP="006B6787">
      <w:pPr>
        <w:numPr>
          <w:ilvl w:val="0"/>
          <w:numId w:val="26"/>
        </w:num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na dan 18. avgusta 2025 ostala 8,5 % nižja, kot bi bila brez ukrepa.</w:t>
      </w:r>
    </w:p>
    <w:p w14:paraId="22038A87" w14:textId="77777777" w:rsidR="006B6787" w:rsidRPr="006B6787" w:rsidRDefault="006B6787" w:rsidP="006B6787">
      <w:pPr>
        <w:spacing w:before="0" w:after="0" w:line="0" w:lineRule="atLeast"/>
        <w:rPr>
          <w:rFonts w:asciiTheme="majorHAnsi" w:hAnsiTheme="majorHAnsi"/>
          <w:sz w:val="22"/>
          <w:szCs w:val="22"/>
          <w:lang w:val="sl-SI"/>
        </w:rPr>
      </w:pPr>
    </w:p>
    <w:p w14:paraId="7CE61AB5" w14:textId="77777777" w:rsidR="006B6787" w:rsidRPr="006B6787" w:rsidRDefault="006B6787" w:rsidP="006B6787">
      <w:pPr>
        <w:spacing w:before="0" w:after="0" w:line="0" w:lineRule="atLeast"/>
        <w:rPr>
          <w:rFonts w:asciiTheme="majorHAnsi" w:hAnsiTheme="majorHAnsi"/>
          <w:color w:val="0F4761" w:themeColor="accent1" w:themeShade="BF"/>
          <w:sz w:val="32"/>
          <w:szCs w:val="32"/>
          <w:u w:val="single"/>
          <w:lang w:val="sl-SI"/>
        </w:rPr>
      </w:pPr>
      <w:r w:rsidRPr="006B6787">
        <w:rPr>
          <w:rFonts w:asciiTheme="majorHAnsi" w:hAnsiTheme="majorHAnsi"/>
          <w:color w:val="0F4761" w:themeColor="accent1" w:themeShade="BF"/>
          <w:sz w:val="32"/>
          <w:szCs w:val="32"/>
          <w:u w:val="single"/>
          <w:lang w:val="sl-SI"/>
        </w:rPr>
        <w:t>Zakonodaja, ki jo je bilo potrebno spremeniti</w:t>
      </w:r>
    </w:p>
    <w:p w14:paraId="229B7E67" w14:textId="77777777" w:rsidR="006B6787" w:rsidRPr="006B6787" w:rsidRDefault="006B6787" w:rsidP="006B6787">
      <w:pPr>
        <w:numPr>
          <w:ilvl w:val="0"/>
          <w:numId w:val="27"/>
        </w:num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Zakon o trošarinah-1 (novela UL RS št. 140/22)</w:t>
      </w:r>
    </w:p>
    <w:p w14:paraId="424CF794" w14:textId="77777777" w:rsidR="006B6787" w:rsidRPr="006B6787" w:rsidRDefault="006B6787" w:rsidP="006B6787">
      <w:pPr>
        <w:spacing w:before="0" w:after="0" w:line="0" w:lineRule="atLeast"/>
        <w:rPr>
          <w:rFonts w:asciiTheme="majorHAnsi" w:hAnsiTheme="majorHAnsi"/>
          <w:sz w:val="22"/>
          <w:szCs w:val="22"/>
          <w:lang w:val="sl-SI"/>
        </w:rPr>
      </w:pPr>
    </w:p>
    <w:p w14:paraId="1DC2D185" w14:textId="77777777" w:rsidR="006B6787" w:rsidRPr="006B6787" w:rsidRDefault="006B6787" w:rsidP="006B6787">
      <w:pPr>
        <w:spacing w:before="0" w:after="0" w:line="0" w:lineRule="atLeast"/>
        <w:rPr>
          <w:rFonts w:asciiTheme="majorHAnsi" w:hAnsiTheme="majorHAnsi"/>
          <w:color w:val="0F4761" w:themeColor="accent1" w:themeShade="BF"/>
          <w:sz w:val="32"/>
          <w:szCs w:val="32"/>
          <w:u w:val="single"/>
          <w:lang w:val="sl-SI"/>
        </w:rPr>
      </w:pPr>
      <w:r w:rsidRPr="006B6787">
        <w:rPr>
          <w:rFonts w:asciiTheme="majorHAnsi" w:hAnsiTheme="majorHAnsi"/>
          <w:color w:val="0F4761" w:themeColor="accent1" w:themeShade="BF"/>
          <w:sz w:val="32"/>
          <w:szCs w:val="32"/>
          <w:u w:val="single"/>
          <w:lang w:val="sl-SI"/>
        </w:rPr>
        <w:t>Bistvo administrativne razbremenitve</w:t>
      </w:r>
    </w:p>
    <w:p w14:paraId="55EC8C3E" w14:textId="77777777" w:rsidR="006B6787" w:rsidRPr="006B6787" w:rsidRDefault="006B6787" w:rsidP="006B6787">
      <w:pPr>
        <w:spacing w:before="0" w:after="0" w:line="0" w:lineRule="atLeast"/>
        <w:jc w:val="both"/>
        <w:rPr>
          <w:rFonts w:asciiTheme="majorHAnsi" w:hAnsiTheme="majorHAnsi"/>
          <w:sz w:val="22"/>
          <w:szCs w:val="22"/>
          <w:lang w:val="sl-SI"/>
        </w:rPr>
      </w:pPr>
      <w:r w:rsidRPr="006B6787">
        <w:rPr>
          <w:rFonts w:asciiTheme="majorHAnsi" w:hAnsiTheme="majorHAnsi"/>
          <w:sz w:val="22"/>
          <w:szCs w:val="22"/>
          <w:lang w:val="sl-SI"/>
        </w:rPr>
        <w:t>Ukrep omogoča neposredno trošarinsko ugodnost ob nakupu goriva, kar odpravlja potrebo po vlaganju zahtevkov za vračilo trošarine za preteklo leto. To pomeni manj administrativnih postopkov za kmetijske in gozdarske subjekte.</w:t>
      </w:r>
    </w:p>
    <w:p w14:paraId="6ECD17D0" w14:textId="77777777" w:rsidR="006B6787" w:rsidRPr="006B6787" w:rsidRDefault="006B6787" w:rsidP="006B6787">
      <w:pPr>
        <w:spacing w:before="0" w:after="0" w:line="0" w:lineRule="atLeast"/>
        <w:rPr>
          <w:rFonts w:asciiTheme="majorHAnsi" w:hAnsiTheme="majorHAnsi"/>
          <w:sz w:val="22"/>
          <w:szCs w:val="22"/>
          <w:lang w:val="sl-SI"/>
        </w:rPr>
      </w:pPr>
    </w:p>
    <w:p w14:paraId="4D1778FA" w14:textId="77777777" w:rsidR="006B6787" w:rsidRPr="006B6787" w:rsidRDefault="006B6787" w:rsidP="006B6787">
      <w:pPr>
        <w:spacing w:before="0" w:after="0" w:line="0" w:lineRule="atLeast"/>
        <w:rPr>
          <w:rFonts w:asciiTheme="majorHAnsi" w:hAnsiTheme="majorHAnsi"/>
          <w:color w:val="0F4761" w:themeColor="accent1" w:themeShade="BF"/>
          <w:sz w:val="32"/>
          <w:szCs w:val="32"/>
          <w:u w:val="single"/>
          <w:lang w:val="sl-SI"/>
        </w:rPr>
      </w:pPr>
      <w:r w:rsidRPr="006B6787">
        <w:rPr>
          <w:rFonts w:asciiTheme="majorHAnsi" w:hAnsiTheme="majorHAnsi"/>
          <w:color w:val="0F4761" w:themeColor="accent1" w:themeShade="BF"/>
          <w:sz w:val="32"/>
          <w:szCs w:val="32"/>
          <w:u w:val="single"/>
          <w:lang w:val="sl-SI"/>
        </w:rPr>
        <w:t>Na koga sprememba vpliva</w:t>
      </w:r>
    </w:p>
    <w:p w14:paraId="1888F6C0" w14:textId="77777777" w:rsidR="006B6787" w:rsidRPr="006B6787" w:rsidRDefault="006B6787" w:rsidP="006B6787">
      <w:pPr>
        <w:numPr>
          <w:ilvl w:val="0"/>
          <w:numId w:val="28"/>
        </w:num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Fizične osebe (kmetje)</w:t>
      </w:r>
    </w:p>
    <w:p w14:paraId="596ED4C0" w14:textId="77777777" w:rsidR="006B6787" w:rsidRPr="006B6787" w:rsidRDefault="006B6787" w:rsidP="006B6787">
      <w:pPr>
        <w:numPr>
          <w:ilvl w:val="0"/>
          <w:numId w:val="28"/>
        </w:num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Pravne osebe in samostojne podjetnike v kmetijskem in gozdarskem sektorju</w:t>
      </w:r>
      <w:r w:rsidRPr="006B6787">
        <w:rPr>
          <w:rFonts w:asciiTheme="majorHAnsi" w:hAnsiTheme="majorHAnsi"/>
          <w:sz w:val="22"/>
          <w:szCs w:val="22"/>
          <w:lang w:val="sl-SI"/>
        </w:rPr>
        <w:br/>
      </w:r>
    </w:p>
    <w:p w14:paraId="0BE4C203" w14:textId="77777777" w:rsidR="006B6787" w:rsidRPr="006B6787" w:rsidRDefault="006B6787" w:rsidP="006B6787">
      <w:pPr>
        <w:spacing w:before="0" w:after="0" w:line="0" w:lineRule="atLeast"/>
        <w:ind w:left="360"/>
        <w:rPr>
          <w:rFonts w:asciiTheme="majorHAnsi" w:hAnsiTheme="majorHAnsi"/>
          <w:sz w:val="22"/>
          <w:szCs w:val="22"/>
          <w:lang w:val="sl-SI"/>
        </w:rPr>
      </w:pPr>
      <w:r w:rsidRPr="006B6787">
        <w:rPr>
          <w:rFonts w:asciiTheme="majorHAnsi" w:hAnsiTheme="majorHAnsi"/>
          <w:sz w:val="22"/>
          <w:szCs w:val="22"/>
          <w:lang w:val="sl-SI"/>
        </w:rPr>
        <w:t>V letu 2022 je bilo do ukrepa upravičenih:</w:t>
      </w:r>
    </w:p>
    <w:p w14:paraId="61F3B505" w14:textId="77777777" w:rsidR="006B6787" w:rsidRPr="006B6787" w:rsidRDefault="006B6787" w:rsidP="006B6787">
      <w:pPr>
        <w:numPr>
          <w:ilvl w:val="0"/>
          <w:numId w:val="28"/>
        </w:num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30.274 fizičnih oseb</w:t>
      </w:r>
    </w:p>
    <w:p w14:paraId="5D74690A" w14:textId="77777777" w:rsidR="006B6787" w:rsidRPr="006B6787" w:rsidRDefault="006B6787" w:rsidP="006B6787">
      <w:pPr>
        <w:numPr>
          <w:ilvl w:val="0"/>
          <w:numId w:val="28"/>
        </w:num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108 pravnih oseb in samostojnih podjetnikov</w:t>
      </w:r>
    </w:p>
    <w:p w14:paraId="55EE97DF" w14:textId="77777777" w:rsidR="006B6787" w:rsidRPr="006B6787" w:rsidRDefault="006B6787" w:rsidP="006B6787">
      <w:pPr>
        <w:spacing w:before="0" w:after="0" w:line="0" w:lineRule="atLeast"/>
        <w:rPr>
          <w:rFonts w:asciiTheme="majorHAnsi" w:hAnsiTheme="majorHAnsi"/>
          <w:sz w:val="22"/>
          <w:szCs w:val="22"/>
          <w:lang w:val="sl-SI"/>
        </w:rPr>
      </w:pPr>
    </w:p>
    <w:p w14:paraId="3D452DCA" w14:textId="77777777" w:rsidR="006B6787" w:rsidRPr="006B6787" w:rsidRDefault="006B6787" w:rsidP="006B6787">
      <w:pPr>
        <w:spacing w:before="0" w:after="0" w:line="0" w:lineRule="atLeast"/>
        <w:rPr>
          <w:rFonts w:asciiTheme="majorHAnsi" w:hAnsiTheme="majorHAnsi"/>
          <w:color w:val="0F4761" w:themeColor="accent1" w:themeShade="BF"/>
          <w:sz w:val="32"/>
          <w:szCs w:val="32"/>
          <w:u w:val="single"/>
          <w:lang w:val="sl-SI"/>
        </w:rPr>
      </w:pPr>
      <w:r w:rsidRPr="006B6787">
        <w:rPr>
          <w:rFonts w:asciiTheme="majorHAnsi" w:hAnsiTheme="majorHAnsi"/>
          <w:color w:val="0F4761" w:themeColor="accent1" w:themeShade="BF"/>
          <w:sz w:val="32"/>
          <w:szCs w:val="32"/>
          <w:u w:val="single"/>
          <w:lang w:val="sl-SI"/>
        </w:rPr>
        <w:t>Skupni učinki</w:t>
      </w:r>
    </w:p>
    <w:p w14:paraId="21FA67D1" w14:textId="77777777" w:rsidR="006B6787" w:rsidRPr="006B6787" w:rsidRDefault="006B6787" w:rsidP="006B6787">
      <w:pPr>
        <w:spacing w:before="0" w:after="0" w:line="0" w:lineRule="atLeast"/>
        <w:rPr>
          <w:rFonts w:asciiTheme="majorHAnsi" w:hAnsiTheme="majorHAnsi"/>
          <w:sz w:val="22"/>
          <w:szCs w:val="22"/>
          <w:lang w:val="sl-SI"/>
        </w:rPr>
      </w:pPr>
      <w:r w:rsidRPr="006B6787">
        <w:rPr>
          <w:rFonts w:asciiTheme="majorHAnsi" w:hAnsiTheme="majorHAnsi"/>
          <w:sz w:val="22"/>
          <w:szCs w:val="22"/>
          <w:lang w:val="sl-SI"/>
        </w:rPr>
        <w:t>Ocenjen skupni prihranek je 624.535,31 EUR na letni ravni.</w:t>
      </w:r>
    </w:p>
    <w:p w14:paraId="4AE9F171" w14:textId="77777777" w:rsidR="00605A65" w:rsidRPr="006B6787" w:rsidRDefault="00605A65" w:rsidP="001765E8">
      <w:pPr>
        <w:rPr>
          <w:rFonts w:asciiTheme="majorHAnsi" w:hAnsiTheme="majorHAnsi"/>
          <w:lang w:val="sl-SI"/>
        </w:rPr>
      </w:pPr>
    </w:p>
    <w:p w14:paraId="3A7C6448" w14:textId="77777777" w:rsidR="00605A65" w:rsidRDefault="00605A65" w:rsidP="001765E8">
      <w:pPr>
        <w:rPr>
          <w:lang w:val="sl-SI"/>
        </w:rPr>
      </w:pPr>
    </w:p>
    <w:p w14:paraId="231ED54F" w14:textId="77777777" w:rsidR="006B6787" w:rsidRDefault="006B6787" w:rsidP="001765E8">
      <w:pPr>
        <w:rPr>
          <w:lang w:val="sl-SI"/>
        </w:rPr>
      </w:pPr>
    </w:p>
    <w:p w14:paraId="72718E7E" w14:textId="77777777" w:rsidR="00361AFF" w:rsidRDefault="00361AFF" w:rsidP="00361AFF">
      <w:pPr>
        <w:rPr>
          <w:lang w:val="sl-SI"/>
        </w:rPr>
      </w:pPr>
    </w:p>
    <w:p w14:paraId="0E25D260" w14:textId="43B784E1" w:rsidR="00361AFF" w:rsidRPr="00361AFF" w:rsidRDefault="00361AFF" w:rsidP="00361AFF">
      <w:pPr>
        <w:rPr>
          <w:lang w:val="sl-SI"/>
        </w:rPr>
      </w:pPr>
      <w:r w:rsidRPr="00361AFF">
        <w:rPr>
          <w:lang w:val="sl-SI"/>
        </w:rPr>
        <w:lastRenderedPageBreak/>
        <w:t>TABELA kot slika:</w:t>
      </w:r>
    </w:p>
    <w:p w14:paraId="4131E875" w14:textId="07833E4C" w:rsidR="006B6787" w:rsidRDefault="006B6787" w:rsidP="001765E8">
      <w:pPr>
        <w:rPr>
          <w:b/>
          <w:bCs/>
          <w:lang w:val="sl-SI"/>
        </w:rPr>
      </w:pPr>
      <w:r w:rsidRPr="006B6787">
        <w:rPr>
          <w:noProof/>
        </w:rPr>
        <w:drawing>
          <wp:inline distT="0" distB="0" distL="0" distR="0" wp14:anchorId="4E620E93" wp14:editId="4368327C">
            <wp:extent cx="5760720" cy="3120390"/>
            <wp:effectExtent l="0" t="0" r="0" b="3810"/>
            <wp:docPr id="155511075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20390"/>
                    </a:xfrm>
                    <a:prstGeom prst="rect">
                      <a:avLst/>
                    </a:prstGeom>
                    <a:noFill/>
                    <a:ln>
                      <a:noFill/>
                    </a:ln>
                  </pic:spPr>
                </pic:pic>
              </a:graphicData>
            </a:graphic>
          </wp:inline>
        </w:drawing>
      </w:r>
    </w:p>
    <w:p w14:paraId="06680565" w14:textId="77777777" w:rsidR="00361AFF" w:rsidRDefault="00361AFF" w:rsidP="00361AFF">
      <w:pPr>
        <w:rPr>
          <w:b/>
          <w:bCs/>
          <w:lang w:val="sl-SI"/>
        </w:rPr>
      </w:pPr>
      <w:r w:rsidRPr="00F47631">
        <w:rPr>
          <w:b/>
          <w:bCs/>
          <w:lang w:val="sl-SI"/>
        </w:rPr>
        <w:t xml:space="preserve">Opis v ozadju: </w:t>
      </w:r>
    </w:p>
    <w:p w14:paraId="16ED71BD" w14:textId="77777777" w:rsidR="006B6787" w:rsidRPr="00F47631" w:rsidRDefault="006B6787" w:rsidP="001765E8">
      <w:pPr>
        <w:rPr>
          <w:b/>
          <w:bCs/>
          <w:lang w:val="sl-SI"/>
        </w:rPr>
      </w:pPr>
    </w:p>
    <w:p w14:paraId="14A94791" w14:textId="77777777" w:rsidR="001765E8" w:rsidRPr="00F47631" w:rsidRDefault="001765E8" w:rsidP="001765E8">
      <w:pPr>
        <w:rPr>
          <w:highlight w:val="green"/>
          <w:lang w:val="sl-SI"/>
        </w:rPr>
      </w:pPr>
      <w:r w:rsidRPr="00F47631">
        <w:rPr>
          <w:highlight w:val="green"/>
          <w:lang w:val="sl-SI"/>
        </w:rPr>
        <w:t xml:space="preserve">Tabela prikazuje dve stanji: </w:t>
      </w:r>
    </w:p>
    <w:p w14:paraId="3D2B37CE" w14:textId="139469FF" w:rsidR="001765E8" w:rsidRPr="00F47631" w:rsidRDefault="00E91855" w:rsidP="00E91855">
      <w:pPr>
        <w:spacing w:before="0" w:after="0"/>
        <w:jc w:val="both"/>
        <w:rPr>
          <w:highlight w:val="green"/>
          <w:lang w:val="sl-SI"/>
        </w:rPr>
      </w:pPr>
      <w:r>
        <w:rPr>
          <w:highlight w:val="green"/>
          <w:lang w:val="sl-SI"/>
        </w:rPr>
        <w:t xml:space="preserve">Prvo stanje: </w:t>
      </w:r>
      <w:r w:rsidR="001765E8" w:rsidRPr="00F47631">
        <w:rPr>
          <w:highlight w:val="green"/>
          <w:lang w:val="sl-SI"/>
        </w:rPr>
        <w:t xml:space="preserve">Tabela 1 je izračun administrativnih stroškov, ki so nastali pred realizacijo ukrepa. </w:t>
      </w:r>
    </w:p>
    <w:p w14:paraId="3E08A12B" w14:textId="0F86F41E" w:rsidR="001765E8" w:rsidRPr="00F47631" w:rsidRDefault="001765E8" w:rsidP="00E91855">
      <w:pPr>
        <w:spacing w:before="0" w:after="0"/>
        <w:jc w:val="both"/>
        <w:rPr>
          <w:highlight w:val="green"/>
          <w:lang w:val="sl-SI"/>
        </w:rPr>
      </w:pPr>
      <w:r w:rsidRPr="00F47631">
        <w:rPr>
          <w:highlight w:val="green"/>
          <w:lang w:val="sl-SI"/>
        </w:rPr>
        <w:t>Definirane so obveznosti in podrobneje razdeljene na aktivnosti, ki jih je bilo potrebno izvesti pred realizacijo ukrepa. Prav tako so definirani deležniki, ki morajo izvesti obveznosti oz. aktivnosti v okviru obveznosti. Določena je populacij, ki mora aktivnost izvesti, frekvenca (kolikokrat na leto je to potrebno izvesti), urna postavka, ki je izračunana po EMMS (Enotna metodologija merjenja stroškov, ki jih zakonodaja povzroča subjektom), potreben čas za izvedbo aktivnosti in morebitni drugi stroški (plačilo takse, strošek papirja,…). Izračunani administrativni stroški pred realizacijo ukrepa so na letni ravni znašali 1.537.657</w:t>
      </w:r>
      <w:r w:rsidR="005101E3">
        <w:rPr>
          <w:highlight w:val="green"/>
          <w:lang w:val="sl-SI"/>
        </w:rPr>
        <w:t>,41</w:t>
      </w:r>
      <w:r w:rsidRPr="00F47631">
        <w:rPr>
          <w:highlight w:val="green"/>
          <w:lang w:val="sl-SI"/>
        </w:rPr>
        <w:t xml:space="preserve"> EUR</w:t>
      </w:r>
    </w:p>
    <w:p w14:paraId="3FF68543" w14:textId="77777777" w:rsidR="00E91855" w:rsidRDefault="00E91855" w:rsidP="001765E8">
      <w:pPr>
        <w:spacing w:before="0" w:after="0"/>
        <w:jc w:val="both"/>
        <w:rPr>
          <w:highlight w:val="green"/>
          <w:lang w:val="sl-SI"/>
        </w:rPr>
      </w:pPr>
    </w:p>
    <w:p w14:paraId="6C1BC576" w14:textId="6FF5B390" w:rsidR="001765E8" w:rsidRPr="00F47631" w:rsidRDefault="00E91855" w:rsidP="001765E8">
      <w:pPr>
        <w:spacing w:before="0" w:after="0"/>
        <w:jc w:val="both"/>
        <w:rPr>
          <w:highlight w:val="green"/>
          <w:lang w:val="sl-SI"/>
        </w:rPr>
      </w:pPr>
      <w:r>
        <w:rPr>
          <w:highlight w:val="green"/>
          <w:lang w:val="sl-SI"/>
        </w:rPr>
        <w:t xml:space="preserve">Drugo stanje: </w:t>
      </w:r>
      <w:r w:rsidR="001765E8" w:rsidRPr="00F47631">
        <w:rPr>
          <w:highlight w:val="green"/>
          <w:lang w:val="sl-SI"/>
        </w:rPr>
        <w:t>Tabela 2 je izračun administrativnih stroškov, ki so nastali po realizaciji ukrepa. Realizacija ukrepa je prinesla:</w:t>
      </w:r>
    </w:p>
    <w:p w14:paraId="00732DB7"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zmanjšanje števila aktivnosti (manj primerov, manj vprašanj, manj postopkov),</w:t>
      </w:r>
    </w:p>
    <w:p w14:paraId="5DAD840B"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krajši časa za posamezne aktivnosti,</w:t>
      </w:r>
    </w:p>
    <w:p w14:paraId="64AF8D89"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manj zahtevnih postopkov in nadzorov,</w:t>
      </w:r>
    </w:p>
    <w:p w14:paraId="3DD5A985"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delno zmanjšanja dodatnih izdatkov (npr. stroški odprave nepravilnosti).</w:t>
      </w:r>
    </w:p>
    <w:p w14:paraId="48D52A9C" w14:textId="1F118F24" w:rsidR="001765E8" w:rsidRPr="00F47631" w:rsidRDefault="001765E8" w:rsidP="001765E8">
      <w:pPr>
        <w:spacing w:before="0" w:after="0"/>
        <w:jc w:val="both"/>
        <w:rPr>
          <w:b/>
          <w:bCs/>
          <w:highlight w:val="green"/>
          <w:lang w:val="sl-SI"/>
        </w:rPr>
      </w:pPr>
      <w:r w:rsidRPr="00F47631">
        <w:rPr>
          <w:highlight w:val="green"/>
          <w:lang w:val="sl-SI"/>
        </w:rPr>
        <w:t>Izračunani administrativni stroški po realizaciji ukrepa so na letni ravni znašali 734.</w:t>
      </w:r>
      <w:r w:rsidR="005101E3">
        <w:rPr>
          <w:highlight w:val="green"/>
          <w:lang w:val="sl-SI"/>
        </w:rPr>
        <w:t>299,73</w:t>
      </w:r>
      <w:r w:rsidRPr="00F47631">
        <w:rPr>
          <w:highlight w:val="green"/>
          <w:lang w:val="sl-SI"/>
        </w:rPr>
        <w:t xml:space="preserve"> EUR.</w:t>
      </w:r>
    </w:p>
    <w:p w14:paraId="34D06D9A" w14:textId="2E7E1070" w:rsidR="001765E8" w:rsidRDefault="005101E3" w:rsidP="001765E8">
      <w:pPr>
        <w:jc w:val="both"/>
        <w:rPr>
          <w:lang w:val="sl-SI"/>
        </w:rPr>
      </w:pPr>
      <w:r>
        <w:rPr>
          <w:highlight w:val="green"/>
          <w:lang w:val="sl-SI"/>
        </w:rPr>
        <w:t>P</w:t>
      </w:r>
      <w:r w:rsidR="001765E8" w:rsidRPr="00F47631">
        <w:rPr>
          <w:highlight w:val="green"/>
          <w:lang w:val="sl-SI"/>
        </w:rPr>
        <w:t>rihranek</w:t>
      </w:r>
      <w:r>
        <w:rPr>
          <w:highlight w:val="green"/>
          <w:lang w:val="sl-SI"/>
        </w:rPr>
        <w:t xml:space="preserve"> po realizaciji ukrepa</w:t>
      </w:r>
      <w:r w:rsidR="001765E8" w:rsidRPr="00F47631">
        <w:rPr>
          <w:highlight w:val="green"/>
          <w:lang w:val="sl-SI"/>
        </w:rPr>
        <w:t xml:space="preserve"> je 803.35</w:t>
      </w:r>
      <w:r>
        <w:rPr>
          <w:highlight w:val="green"/>
          <w:lang w:val="sl-SI"/>
        </w:rPr>
        <w:t>7,68</w:t>
      </w:r>
      <w:r w:rsidR="001765E8" w:rsidRPr="00F47631">
        <w:rPr>
          <w:highlight w:val="green"/>
          <w:lang w:val="sl-SI"/>
        </w:rPr>
        <w:t xml:space="preserve"> EUR, kar predstavlja več kot 50 % zmanjšanje stroškov.</w:t>
      </w:r>
    </w:p>
    <w:p w14:paraId="7ADFA5E2" w14:textId="77777777" w:rsidR="001765E8" w:rsidRPr="00697D3B" w:rsidRDefault="001765E8" w:rsidP="001765E8">
      <w:pPr>
        <w:pStyle w:val="Oznaenseznam"/>
        <w:numPr>
          <w:ilvl w:val="0"/>
          <w:numId w:val="0"/>
        </w:numPr>
        <w:tabs>
          <w:tab w:val="num" w:pos="360"/>
        </w:tabs>
        <w:rPr>
          <w:lang w:val="sl-SI"/>
        </w:rPr>
      </w:pPr>
    </w:p>
    <w:sectPr w:rsidR="001765E8"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A68B" w14:textId="77777777" w:rsidR="008B107D" w:rsidRDefault="008B107D" w:rsidP="00AD3F42">
      <w:pPr>
        <w:spacing w:before="0" w:after="0" w:line="240" w:lineRule="auto"/>
      </w:pPr>
      <w:r>
        <w:separator/>
      </w:r>
    </w:p>
  </w:endnote>
  <w:endnote w:type="continuationSeparator" w:id="0">
    <w:p w14:paraId="47F0A8AD" w14:textId="77777777" w:rsidR="008B107D" w:rsidRDefault="008B107D"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0FAD" w14:textId="77777777" w:rsidR="008B107D" w:rsidRDefault="008B107D" w:rsidP="00AD3F42">
      <w:pPr>
        <w:spacing w:before="0" w:after="0" w:line="240" w:lineRule="auto"/>
      </w:pPr>
      <w:r>
        <w:separator/>
      </w:r>
    </w:p>
  </w:footnote>
  <w:footnote w:type="continuationSeparator" w:id="0">
    <w:p w14:paraId="4CF53451" w14:textId="77777777" w:rsidR="008B107D" w:rsidRDefault="008B107D"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661B3"/>
    <w:multiLevelType w:val="hybridMultilevel"/>
    <w:tmpl w:val="CCAEE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3F7204"/>
    <w:multiLevelType w:val="multilevel"/>
    <w:tmpl w:val="C33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24FC"/>
    <w:multiLevelType w:val="multilevel"/>
    <w:tmpl w:val="2F2C0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9615C8"/>
    <w:multiLevelType w:val="multilevel"/>
    <w:tmpl w:val="8AA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54BB3"/>
    <w:multiLevelType w:val="multilevel"/>
    <w:tmpl w:val="B7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0782"/>
    <w:multiLevelType w:val="multilevel"/>
    <w:tmpl w:val="619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0B5414"/>
    <w:multiLevelType w:val="multilevel"/>
    <w:tmpl w:val="98D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D0A2B"/>
    <w:multiLevelType w:val="multilevel"/>
    <w:tmpl w:val="8FA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8472E"/>
    <w:multiLevelType w:val="hybridMultilevel"/>
    <w:tmpl w:val="06B0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045E45"/>
    <w:multiLevelType w:val="multilevel"/>
    <w:tmpl w:val="88C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4030B"/>
    <w:multiLevelType w:val="multilevel"/>
    <w:tmpl w:val="C13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B6C80"/>
    <w:multiLevelType w:val="multilevel"/>
    <w:tmpl w:val="753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274B4"/>
    <w:multiLevelType w:val="multilevel"/>
    <w:tmpl w:val="E91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E4A94"/>
    <w:multiLevelType w:val="multilevel"/>
    <w:tmpl w:val="B24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B0D4F"/>
    <w:multiLevelType w:val="multilevel"/>
    <w:tmpl w:val="746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41CF4"/>
    <w:multiLevelType w:val="multilevel"/>
    <w:tmpl w:val="F67E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9427F"/>
    <w:multiLevelType w:val="multilevel"/>
    <w:tmpl w:val="979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A3A53"/>
    <w:multiLevelType w:val="multilevel"/>
    <w:tmpl w:val="609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B3B11"/>
    <w:multiLevelType w:val="multilevel"/>
    <w:tmpl w:val="5C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17E63"/>
    <w:multiLevelType w:val="multilevel"/>
    <w:tmpl w:val="D4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A23F9"/>
    <w:multiLevelType w:val="multilevel"/>
    <w:tmpl w:val="73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65A84"/>
    <w:multiLevelType w:val="hybridMultilevel"/>
    <w:tmpl w:val="7924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5401521">
    <w:abstractNumId w:val="5"/>
  </w:num>
  <w:num w:numId="2" w16cid:durableId="533077018">
    <w:abstractNumId w:val="23"/>
  </w:num>
  <w:num w:numId="3" w16cid:durableId="616258738">
    <w:abstractNumId w:val="13"/>
  </w:num>
  <w:num w:numId="4" w16cid:durableId="493955492">
    <w:abstractNumId w:val="24"/>
  </w:num>
  <w:num w:numId="5" w16cid:durableId="1028604632">
    <w:abstractNumId w:val="8"/>
  </w:num>
  <w:num w:numId="6" w16cid:durableId="637421463">
    <w:abstractNumId w:val="0"/>
  </w:num>
  <w:num w:numId="7" w16cid:durableId="2076968894">
    <w:abstractNumId w:val="3"/>
  </w:num>
  <w:num w:numId="8" w16cid:durableId="465046399">
    <w:abstractNumId w:val="14"/>
  </w:num>
  <w:num w:numId="9" w16cid:durableId="729959883">
    <w:abstractNumId w:val="15"/>
  </w:num>
  <w:num w:numId="10" w16cid:durableId="611089271">
    <w:abstractNumId w:val="6"/>
  </w:num>
  <w:num w:numId="11" w16cid:durableId="1406873802">
    <w:abstractNumId w:val="1"/>
  </w:num>
  <w:num w:numId="12" w16cid:durableId="764810922">
    <w:abstractNumId w:val="11"/>
  </w:num>
  <w:num w:numId="13" w16cid:durableId="537158707">
    <w:abstractNumId w:val="25"/>
  </w:num>
  <w:num w:numId="14" w16cid:durableId="1430931520">
    <w:abstractNumId w:val="12"/>
  </w:num>
  <w:num w:numId="15" w16cid:durableId="1300309287">
    <w:abstractNumId w:val="2"/>
  </w:num>
  <w:num w:numId="16" w16cid:durableId="676152837">
    <w:abstractNumId w:val="4"/>
  </w:num>
  <w:num w:numId="17" w16cid:durableId="1238784579">
    <w:abstractNumId w:val="17"/>
  </w:num>
  <w:num w:numId="18" w16cid:durableId="2047219001">
    <w:abstractNumId w:val="26"/>
  </w:num>
  <w:num w:numId="19" w16cid:durableId="567765301">
    <w:abstractNumId w:val="22"/>
  </w:num>
  <w:num w:numId="20" w16cid:durableId="1181622974">
    <w:abstractNumId w:val="9"/>
  </w:num>
  <w:num w:numId="21" w16cid:durableId="1217014454">
    <w:abstractNumId w:val="7"/>
  </w:num>
  <w:num w:numId="22" w16cid:durableId="1028457220">
    <w:abstractNumId w:val="18"/>
  </w:num>
  <w:num w:numId="23" w16cid:durableId="870605537">
    <w:abstractNumId w:val="16"/>
  </w:num>
  <w:num w:numId="24" w16cid:durableId="1357846378">
    <w:abstractNumId w:val="27"/>
  </w:num>
  <w:num w:numId="25" w16cid:durableId="1495876521">
    <w:abstractNumId w:val="20"/>
  </w:num>
  <w:num w:numId="26" w16cid:durableId="1075904876">
    <w:abstractNumId w:val="21"/>
  </w:num>
  <w:num w:numId="27" w16cid:durableId="2054886620">
    <w:abstractNumId w:val="10"/>
  </w:num>
  <w:num w:numId="28" w16cid:durableId="21468472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02BD1"/>
    <w:rsid w:val="00026B16"/>
    <w:rsid w:val="00034661"/>
    <w:rsid w:val="00084D8C"/>
    <w:rsid w:val="00085A2C"/>
    <w:rsid w:val="00105A25"/>
    <w:rsid w:val="001444CC"/>
    <w:rsid w:val="001765E8"/>
    <w:rsid w:val="00195F59"/>
    <w:rsid w:val="001A7F71"/>
    <w:rsid w:val="001D01D0"/>
    <w:rsid w:val="001D577A"/>
    <w:rsid w:val="002157C2"/>
    <w:rsid w:val="002327C4"/>
    <w:rsid w:val="00240CEA"/>
    <w:rsid w:val="0026070B"/>
    <w:rsid w:val="00287D7F"/>
    <w:rsid w:val="002B09E6"/>
    <w:rsid w:val="0031593A"/>
    <w:rsid w:val="00361AFF"/>
    <w:rsid w:val="003923B0"/>
    <w:rsid w:val="0039537C"/>
    <w:rsid w:val="003C4CC5"/>
    <w:rsid w:val="003C673A"/>
    <w:rsid w:val="003E3991"/>
    <w:rsid w:val="0040309F"/>
    <w:rsid w:val="0044669A"/>
    <w:rsid w:val="00455BAB"/>
    <w:rsid w:val="004F3A2D"/>
    <w:rsid w:val="005101E3"/>
    <w:rsid w:val="005460EC"/>
    <w:rsid w:val="00551916"/>
    <w:rsid w:val="00605A65"/>
    <w:rsid w:val="006301BD"/>
    <w:rsid w:val="0063162F"/>
    <w:rsid w:val="00633534"/>
    <w:rsid w:val="00641428"/>
    <w:rsid w:val="00656187"/>
    <w:rsid w:val="00656FD1"/>
    <w:rsid w:val="006836EE"/>
    <w:rsid w:val="00697D3B"/>
    <w:rsid w:val="006A0FE7"/>
    <w:rsid w:val="006B6787"/>
    <w:rsid w:val="007D17A4"/>
    <w:rsid w:val="007D1F42"/>
    <w:rsid w:val="007D7F3F"/>
    <w:rsid w:val="0083597D"/>
    <w:rsid w:val="00855687"/>
    <w:rsid w:val="0089763A"/>
    <w:rsid w:val="008B107D"/>
    <w:rsid w:val="008D6235"/>
    <w:rsid w:val="009101CE"/>
    <w:rsid w:val="00991150"/>
    <w:rsid w:val="009B3E03"/>
    <w:rsid w:val="00AC54D8"/>
    <w:rsid w:val="00AD10CE"/>
    <w:rsid w:val="00AD3F42"/>
    <w:rsid w:val="00B00B0B"/>
    <w:rsid w:val="00B04CB0"/>
    <w:rsid w:val="00B2735E"/>
    <w:rsid w:val="00B66DA1"/>
    <w:rsid w:val="00BC65AF"/>
    <w:rsid w:val="00BE62D0"/>
    <w:rsid w:val="00C40D71"/>
    <w:rsid w:val="00C71A58"/>
    <w:rsid w:val="00C7516A"/>
    <w:rsid w:val="00CA6625"/>
    <w:rsid w:val="00D1706A"/>
    <w:rsid w:val="00D259A9"/>
    <w:rsid w:val="00D33171"/>
    <w:rsid w:val="00D85BDB"/>
    <w:rsid w:val="00DA1468"/>
    <w:rsid w:val="00DB2DA0"/>
    <w:rsid w:val="00DD7BF4"/>
    <w:rsid w:val="00DE3414"/>
    <w:rsid w:val="00E029A0"/>
    <w:rsid w:val="00E13044"/>
    <w:rsid w:val="00E13ADD"/>
    <w:rsid w:val="00E34F12"/>
    <w:rsid w:val="00E47FE0"/>
    <w:rsid w:val="00E74C35"/>
    <w:rsid w:val="00E91855"/>
    <w:rsid w:val="00F24617"/>
    <w:rsid w:val="00F47631"/>
    <w:rsid w:val="00F80C01"/>
    <w:rsid w:val="00FB24AF"/>
    <w:rsid w:val="00FB52D4"/>
    <w:rsid w:val="00FE6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7D7F3F"/>
    <w:rPr>
      <w:kern w:val="0"/>
      <w:sz w:val="20"/>
      <w:szCs w:val="20"/>
      <w:lang w:val="en-US"/>
      <w14:ligatures w14:val="none"/>
    </w:rPr>
  </w:style>
  <w:style w:type="character" w:styleId="Hiperpovezava">
    <w:name w:val="Hyperlink"/>
    <w:basedOn w:val="Privzetapisavaodstavka"/>
    <w:uiPriority w:val="99"/>
    <w:unhideWhenUsed/>
    <w:rsid w:val="00B66DA1"/>
    <w:rPr>
      <w:color w:val="467886" w:themeColor="hyperlink"/>
      <w:u w:val="single"/>
    </w:rPr>
  </w:style>
  <w:style w:type="character" w:styleId="Poudarek">
    <w:name w:val="Emphasis"/>
    <w:uiPriority w:val="20"/>
    <w:qFormat/>
    <w:rsid w:val="00BC6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479</Words>
  <Characters>2736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4</cp:revision>
  <cp:lastPrinted>2026-05-05T06:22:00Z</cp:lastPrinted>
  <dcterms:created xsi:type="dcterms:W3CDTF">2026-06-04T07:05:00Z</dcterms:created>
  <dcterms:modified xsi:type="dcterms:W3CDTF">2026-06-04T08:52:00Z</dcterms:modified>
</cp:coreProperties>
</file>