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B51E1" w14:textId="45F96B34" w:rsidR="003923B0" w:rsidRPr="00566F15" w:rsidRDefault="00AD3F42" w:rsidP="003923B0">
      <w:pPr>
        <w:spacing w:before="0" w:after="0" w:line="0" w:lineRule="atLeast"/>
        <w:rPr>
          <w:rFonts w:ascii="Book Antiqua" w:hAnsi="Book Antiqua"/>
          <w:sz w:val="22"/>
          <w:szCs w:val="22"/>
          <w:lang w:val="sl-SI"/>
        </w:rPr>
      </w:pPr>
      <w:r w:rsidRPr="003A7BFB">
        <w:rPr>
          <w:rFonts w:cs="Arial"/>
          <w:b/>
          <w:noProof/>
          <w:u w:val="single"/>
          <w:lang w:eastAsia="sl-SI"/>
        </w:rPr>
        <w:drawing>
          <wp:anchor distT="0" distB="0" distL="114300" distR="114300" simplePos="0" relativeHeight="251660288" behindDoc="1" locked="0" layoutInCell="1" allowOverlap="1" wp14:anchorId="59861861" wp14:editId="1AB38312">
            <wp:simplePos x="0" y="0"/>
            <wp:positionH relativeFrom="column">
              <wp:posOffset>-335915</wp:posOffset>
            </wp:positionH>
            <wp:positionV relativeFrom="paragraph">
              <wp:posOffset>-244474</wp:posOffset>
            </wp:positionV>
            <wp:extent cx="1919605" cy="800100"/>
            <wp:effectExtent l="0" t="0" r="4445" b="0"/>
            <wp:wrapNone/>
            <wp:docPr id="4" name="Slika 4" descr="~1097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9710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9605" cy="800100"/>
                    </a:xfrm>
                    <a:prstGeom prst="rect">
                      <a:avLst/>
                    </a:prstGeom>
                    <a:noFill/>
                    <a:ln>
                      <a:noFill/>
                    </a:ln>
                    <a:effectLst/>
                  </pic:spPr>
                </pic:pic>
              </a:graphicData>
            </a:graphic>
            <wp14:sizeRelV relativeFrom="margin">
              <wp14:pctHeight>0</wp14:pctHeight>
            </wp14:sizeRelV>
          </wp:anchor>
        </w:drawing>
      </w:r>
    </w:p>
    <w:p w14:paraId="0909F55F" w14:textId="77777777" w:rsidR="00AD3F42" w:rsidRDefault="00AD3F42" w:rsidP="003923B0">
      <w:pPr>
        <w:spacing w:before="0" w:after="0" w:line="0" w:lineRule="atLeast"/>
        <w:rPr>
          <w:rFonts w:ascii="Book Antiqua" w:hAnsi="Book Antiqua"/>
          <w:sz w:val="22"/>
          <w:szCs w:val="22"/>
          <w:u w:val="single"/>
          <w:lang w:val="sl-SI"/>
        </w:rPr>
      </w:pPr>
    </w:p>
    <w:p w14:paraId="2F1143A3" w14:textId="77777777" w:rsidR="00AD3F42" w:rsidRDefault="00AD3F42" w:rsidP="003923B0">
      <w:pPr>
        <w:spacing w:before="0" w:after="0" w:line="0" w:lineRule="atLeast"/>
        <w:rPr>
          <w:rFonts w:ascii="Book Antiqua" w:hAnsi="Book Antiqua"/>
          <w:sz w:val="22"/>
          <w:szCs w:val="22"/>
          <w:u w:val="single"/>
          <w:lang w:val="sl-SI"/>
        </w:rPr>
      </w:pPr>
    </w:p>
    <w:p w14:paraId="6CA1E025" w14:textId="135CCB19" w:rsidR="00AD3F42" w:rsidRPr="003A7BFB" w:rsidRDefault="00AD3F42" w:rsidP="00AD3F42">
      <w:pPr>
        <w:tabs>
          <w:tab w:val="left" w:pos="283"/>
        </w:tabs>
        <w:autoSpaceDE w:val="0"/>
        <w:autoSpaceDN w:val="0"/>
        <w:adjustRightInd w:val="0"/>
        <w:jc w:val="center"/>
        <w:textAlignment w:val="center"/>
        <w:rPr>
          <w:rFonts w:cs="Arial"/>
          <w:b/>
          <w:u w:val="single"/>
          <w:lang w:eastAsia="sl-SI"/>
        </w:rPr>
      </w:pPr>
    </w:p>
    <w:p w14:paraId="1920EB92" w14:textId="77777777" w:rsidR="00AD3F42" w:rsidRPr="003A7BFB" w:rsidRDefault="00AD3F42" w:rsidP="00AD3F42">
      <w:pPr>
        <w:tabs>
          <w:tab w:val="left" w:pos="283"/>
        </w:tabs>
        <w:autoSpaceDE w:val="0"/>
        <w:autoSpaceDN w:val="0"/>
        <w:adjustRightInd w:val="0"/>
        <w:jc w:val="center"/>
        <w:textAlignment w:val="center"/>
        <w:rPr>
          <w:rFonts w:cs="Arial"/>
          <w:b/>
          <w:u w:val="single"/>
          <w:lang w:eastAsia="sl-SI"/>
        </w:rPr>
      </w:pPr>
    </w:p>
    <w:p w14:paraId="1EFA0AE5" w14:textId="77777777" w:rsidR="00AD3F42" w:rsidRPr="003A7BFB" w:rsidRDefault="00AD3F42" w:rsidP="00AD3F42">
      <w:pPr>
        <w:tabs>
          <w:tab w:val="left" w:pos="283"/>
          <w:tab w:val="left" w:pos="1170"/>
        </w:tabs>
        <w:autoSpaceDE w:val="0"/>
        <w:autoSpaceDN w:val="0"/>
        <w:adjustRightInd w:val="0"/>
        <w:textAlignment w:val="center"/>
        <w:rPr>
          <w:rFonts w:cs="Arial"/>
          <w:b/>
          <w:u w:val="single"/>
          <w:lang w:eastAsia="sl-SI"/>
        </w:rPr>
      </w:pPr>
    </w:p>
    <w:p w14:paraId="6D369E45" w14:textId="77777777" w:rsidR="00AD3F42" w:rsidRPr="003A7BFB" w:rsidRDefault="00AD3F42" w:rsidP="00AD3F42">
      <w:pPr>
        <w:tabs>
          <w:tab w:val="left" w:pos="283"/>
        </w:tabs>
        <w:autoSpaceDE w:val="0"/>
        <w:autoSpaceDN w:val="0"/>
        <w:adjustRightInd w:val="0"/>
        <w:textAlignment w:val="center"/>
        <w:rPr>
          <w:rFonts w:cs="Arial"/>
          <w:b/>
          <w:u w:val="single"/>
          <w:lang w:eastAsia="sl-SI"/>
        </w:rPr>
      </w:pPr>
    </w:p>
    <w:p w14:paraId="63629EFF" w14:textId="77777777" w:rsidR="00AD3F42" w:rsidRPr="003A7BFB" w:rsidRDefault="00AD3F42" w:rsidP="00AD3F42">
      <w:pPr>
        <w:tabs>
          <w:tab w:val="left" w:pos="283"/>
        </w:tabs>
        <w:autoSpaceDE w:val="0"/>
        <w:autoSpaceDN w:val="0"/>
        <w:adjustRightInd w:val="0"/>
        <w:jc w:val="center"/>
        <w:textAlignment w:val="center"/>
        <w:rPr>
          <w:rFonts w:cs="Arial"/>
          <w:b/>
          <w:u w:val="single"/>
          <w:lang w:eastAsia="sl-SI"/>
        </w:rPr>
      </w:pPr>
    </w:p>
    <w:p w14:paraId="4C75DD18" w14:textId="448A9401" w:rsidR="00AD3F42" w:rsidRPr="007D17A4" w:rsidRDefault="007D17A4" w:rsidP="00AD3F42">
      <w:pPr>
        <w:jc w:val="center"/>
        <w:rPr>
          <w:rFonts w:cs="Arial"/>
          <w:sz w:val="32"/>
          <w:szCs w:val="32"/>
          <w:lang w:val="sl-SI"/>
        </w:rPr>
      </w:pPr>
      <w:r w:rsidRPr="00DD7BF4">
        <w:rPr>
          <w:rFonts w:cs="Arial"/>
          <w:sz w:val="32"/>
          <w:szCs w:val="32"/>
        </w:rPr>
        <w:t xml:space="preserve">Ministrstvo za </w:t>
      </w:r>
      <w:r w:rsidR="00DD7BF4" w:rsidRPr="00DD7BF4">
        <w:rPr>
          <w:rFonts w:cs="Arial"/>
          <w:sz w:val="32"/>
          <w:szCs w:val="32"/>
          <w:lang w:val="sl-SI"/>
        </w:rPr>
        <w:t>javno upravo</w:t>
      </w:r>
    </w:p>
    <w:p w14:paraId="60AFADEB" w14:textId="77777777" w:rsidR="00AD3F42" w:rsidRPr="003A7BFB" w:rsidRDefault="00AD3F42" w:rsidP="00AD3F42">
      <w:pPr>
        <w:jc w:val="center"/>
        <w:rPr>
          <w:rFonts w:cs="Arial"/>
          <w:sz w:val="32"/>
          <w:szCs w:val="32"/>
        </w:rPr>
      </w:pPr>
    </w:p>
    <w:p w14:paraId="4EB00628" w14:textId="77777777" w:rsidR="00AD3F42" w:rsidRPr="003A7BFB" w:rsidRDefault="00AD3F42" w:rsidP="00AD3F42">
      <w:pPr>
        <w:jc w:val="center"/>
        <w:rPr>
          <w:rFonts w:cs="Arial"/>
          <w:sz w:val="32"/>
          <w:szCs w:val="32"/>
        </w:rPr>
      </w:pPr>
      <w:r w:rsidRPr="003A7BFB">
        <w:rPr>
          <w:rFonts w:cs="Arial"/>
          <w:sz w:val="32"/>
          <w:szCs w:val="32"/>
        </w:rPr>
        <w:t>EVALVACIJA UKREPA IZ ENOTNE ZBIRKE UKREPOV</w:t>
      </w:r>
    </w:p>
    <w:p w14:paraId="51E91B0D" w14:textId="77777777" w:rsidR="00AD3F42" w:rsidRPr="003A7BFB" w:rsidRDefault="00AD3F42" w:rsidP="00AD3F42">
      <w:pPr>
        <w:rPr>
          <w:rFonts w:cs="Arial"/>
          <w:sz w:val="32"/>
          <w:szCs w:val="32"/>
        </w:rPr>
      </w:pPr>
    </w:p>
    <w:p w14:paraId="76BF987D" w14:textId="77777777" w:rsidR="00AD3F42" w:rsidRPr="003A7BFB" w:rsidRDefault="00AD3F42" w:rsidP="00AD3F42">
      <w:pPr>
        <w:rPr>
          <w:rFonts w:cs="Arial"/>
          <w:sz w:val="32"/>
          <w:szCs w:val="32"/>
        </w:rPr>
      </w:pPr>
    </w:p>
    <w:p w14:paraId="6616B76B" w14:textId="2B33568F" w:rsidR="00AD3F42" w:rsidRPr="001444CC" w:rsidRDefault="00D2690C" w:rsidP="00D2690C">
      <w:pPr>
        <w:tabs>
          <w:tab w:val="left" w:pos="283"/>
        </w:tabs>
        <w:autoSpaceDE w:val="0"/>
        <w:autoSpaceDN w:val="0"/>
        <w:adjustRightInd w:val="0"/>
        <w:jc w:val="center"/>
        <w:textAlignment w:val="center"/>
        <w:rPr>
          <w:rFonts w:cs="Arial"/>
          <w:color w:val="000000"/>
          <w:szCs w:val="22"/>
          <w:lang w:val="sl-SI" w:eastAsia="sl-SI"/>
        </w:rPr>
      </w:pPr>
      <w:r w:rsidRPr="00D2690C">
        <w:rPr>
          <w:rFonts w:asciiTheme="majorHAnsi" w:hAnsiTheme="majorHAnsi" w:cs="Aptos Narrow"/>
          <w:b/>
          <w:color w:val="000000"/>
          <w:sz w:val="36"/>
          <w:szCs w:val="36"/>
          <w:lang w:val="sl-SI"/>
          <w14:ligatures w14:val="standardContextual"/>
        </w:rPr>
        <w:t>Obvezno usposabljanje voznikov</w:t>
      </w:r>
    </w:p>
    <w:p w14:paraId="5A10AEA5" w14:textId="77777777" w:rsidR="00A61652" w:rsidRDefault="00A61652" w:rsidP="00AD3F42">
      <w:pPr>
        <w:jc w:val="center"/>
        <w:rPr>
          <w:rFonts w:cs="Arial"/>
          <w:b/>
          <w:lang w:eastAsia="sl-SI"/>
        </w:rPr>
      </w:pPr>
    </w:p>
    <w:p w14:paraId="692881AD" w14:textId="77777777" w:rsidR="00A61652" w:rsidRDefault="00A61652" w:rsidP="00AD3F42">
      <w:pPr>
        <w:jc w:val="center"/>
        <w:rPr>
          <w:rFonts w:cs="Arial"/>
          <w:b/>
          <w:lang w:eastAsia="sl-SI"/>
        </w:rPr>
      </w:pPr>
    </w:p>
    <w:p w14:paraId="71100415" w14:textId="77777777" w:rsidR="00A61652" w:rsidRDefault="00A61652" w:rsidP="00AD3F42">
      <w:pPr>
        <w:jc w:val="center"/>
        <w:rPr>
          <w:rFonts w:cs="Arial"/>
          <w:b/>
          <w:lang w:eastAsia="sl-SI"/>
        </w:rPr>
      </w:pPr>
    </w:p>
    <w:p w14:paraId="659FE522" w14:textId="77777777" w:rsidR="00A61652" w:rsidRDefault="00A61652" w:rsidP="00AD3F42">
      <w:pPr>
        <w:jc w:val="center"/>
        <w:rPr>
          <w:rFonts w:cs="Arial"/>
          <w:b/>
          <w:lang w:eastAsia="sl-SI"/>
        </w:rPr>
      </w:pPr>
    </w:p>
    <w:p w14:paraId="4E8AE4AB" w14:textId="77777777" w:rsidR="00A61652" w:rsidRDefault="00A61652" w:rsidP="00AD3F42">
      <w:pPr>
        <w:jc w:val="center"/>
        <w:rPr>
          <w:rFonts w:cs="Arial"/>
          <w:b/>
          <w:lang w:eastAsia="sl-SI"/>
        </w:rPr>
      </w:pPr>
    </w:p>
    <w:p w14:paraId="7EE48F26" w14:textId="77777777" w:rsidR="00A61652" w:rsidRDefault="00A61652" w:rsidP="00AD3F42">
      <w:pPr>
        <w:jc w:val="center"/>
        <w:rPr>
          <w:rFonts w:cs="Arial"/>
          <w:b/>
          <w:lang w:eastAsia="sl-SI"/>
        </w:rPr>
      </w:pPr>
    </w:p>
    <w:p w14:paraId="46B2B667" w14:textId="77777777" w:rsidR="00A61652" w:rsidRDefault="00A61652" w:rsidP="00AD3F42">
      <w:pPr>
        <w:jc w:val="center"/>
        <w:rPr>
          <w:rFonts w:cs="Arial"/>
          <w:b/>
          <w:lang w:eastAsia="sl-SI"/>
        </w:rPr>
      </w:pPr>
    </w:p>
    <w:p w14:paraId="64243DAC" w14:textId="77777777" w:rsidR="00A61652" w:rsidRDefault="00A61652" w:rsidP="00AD3F42">
      <w:pPr>
        <w:jc w:val="center"/>
        <w:rPr>
          <w:rFonts w:cs="Arial"/>
          <w:b/>
          <w:lang w:eastAsia="sl-SI"/>
        </w:rPr>
      </w:pPr>
    </w:p>
    <w:p w14:paraId="0A4CF68A" w14:textId="5D5EDD2E" w:rsidR="00AD3F42" w:rsidRDefault="007D17A4" w:rsidP="00AD3F42">
      <w:pPr>
        <w:jc w:val="center"/>
        <w:rPr>
          <w:rFonts w:cs="Arial"/>
          <w:b/>
          <w:lang w:eastAsia="sl-SI"/>
        </w:rPr>
      </w:pPr>
      <w:proofErr w:type="spellStart"/>
      <w:r w:rsidRPr="00D1706A">
        <w:rPr>
          <w:rFonts w:cs="Arial"/>
          <w:b/>
          <w:lang w:eastAsia="sl-SI"/>
        </w:rPr>
        <w:t>Januar</w:t>
      </w:r>
      <w:proofErr w:type="spellEnd"/>
      <w:r w:rsidR="00AD3F42" w:rsidRPr="00D1706A">
        <w:rPr>
          <w:rFonts w:cs="Arial"/>
          <w:b/>
          <w:lang w:eastAsia="sl-SI"/>
        </w:rPr>
        <w:t>, 2</w:t>
      </w:r>
      <w:r w:rsidR="00D1706A" w:rsidRPr="00D1706A">
        <w:rPr>
          <w:rFonts w:cs="Arial"/>
          <w:b/>
          <w:lang w:eastAsia="sl-SI"/>
        </w:rPr>
        <w:t>026</w:t>
      </w:r>
    </w:p>
    <w:p w14:paraId="7F187C77" w14:textId="654969B9" w:rsidR="0040309F" w:rsidRDefault="0040309F" w:rsidP="0040309F">
      <w:pPr>
        <w:tabs>
          <w:tab w:val="left" w:pos="5730"/>
        </w:tabs>
        <w:rPr>
          <w:rFonts w:cs="Arial"/>
          <w:b/>
          <w:lang w:eastAsia="sl-SI"/>
        </w:rPr>
      </w:pPr>
    </w:p>
    <w:p w14:paraId="52DF8DA2" w14:textId="77777777" w:rsidR="00697D3B" w:rsidRDefault="00697D3B" w:rsidP="0040309F">
      <w:pPr>
        <w:tabs>
          <w:tab w:val="left" w:pos="5730"/>
        </w:tabs>
        <w:rPr>
          <w:rFonts w:cs="Arial"/>
          <w:b/>
          <w:lang w:eastAsia="sl-SI"/>
        </w:rPr>
      </w:pPr>
    </w:p>
    <w:p w14:paraId="5FC71CF5" w14:textId="77777777" w:rsidR="00605A65" w:rsidRDefault="00605A65" w:rsidP="0040309F">
      <w:pPr>
        <w:tabs>
          <w:tab w:val="left" w:pos="5730"/>
        </w:tabs>
        <w:rPr>
          <w:rFonts w:cs="Arial"/>
          <w:b/>
          <w:lang w:eastAsia="sl-SI"/>
        </w:rPr>
      </w:pPr>
    </w:p>
    <w:p w14:paraId="79F5F53D" w14:textId="77777777" w:rsidR="00FC185D" w:rsidRDefault="00FC185D" w:rsidP="0040309F">
      <w:pPr>
        <w:tabs>
          <w:tab w:val="left" w:pos="5730"/>
        </w:tabs>
        <w:rPr>
          <w:rFonts w:cs="Arial"/>
          <w:b/>
          <w:lang w:eastAsia="sl-SI"/>
        </w:rPr>
      </w:pPr>
    </w:p>
    <w:p w14:paraId="7887D38F" w14:textId="77777777" w:rsidR="0040309F" w:rsidRDefault="0040309F" w:rsidP="0040309F">
      <w:pPr>
        <w:tabs>
          <w:tab w:val="left" w:pos="5730"/>
        </w:tabs>
        <w:rPr>
          <w:rFonts w:cs="Arial"/>
          <w:b/>
          <w:lang w:eastAsia="sl-SI"/>
        </w:rPr>
      </w:pPr>
    </w:p>
    <w:p w14:paraId="2493B5B7" w14:textId="77777777" w:rsidR="00991150" w:rsidRDefault="00991150" w:rsidP="0040309F">
      <w:pPr>
        <w:tabs>
          <w:tab w:val="left" w:pos="5730"/>
        </w:tabs>
        <w:rPr>
          <w:rFonts w:cs="Arial"/>
          <w:b/>
          <w:lang w:eastAsia="sl-SI"/>
        </w:rPr>
      </w:pPr>
    </w:p>
    <w:p w14:paraId="3F5A4D42" w14:textId="77777777" w:rsidR="00991150" w:rsidRDefault="00991150" w:rsidP="0040309F">
      <w:pPr>
        <w:tabs>
          <w:tab w:val="left" w:pos="5730"/>
        </w:tabs>
        <w:rPr>
          <w:rFonts w:cs="Arial"/>
          <w:b/>
          <w:lang w:eastAsia="sl-SI"/>
        </w:rPr>
      </w:pPr>
    </w:p>
    <w:p w14:paraId="5F80A21E" w14:textId="405B6EEE" w:rsidR="0040309F" w:rsidRPr="0040309F" w:rsidRDefault="0040309F" w:rsidP="0040309F">
      <w:pPr>
        <w:rPr>
          <w:rFonts w:cs="Arial"/>
          <w:lang w:eastAsia="sl-SI"/>
        </w:rPr>
        <w:sectPr w:rsidR="0040309F" w:rsidRPr="0040309F" w:rsidSect="00AD3F42">
          <w:headerReference w:type="default" r:id="rId8"/>
          <w:pgSz w:w="11906" w:h="16838"/>
          <w:pgMar w:top="1417" w:right="1417" w:bottom="1417" w:left="1417" w:header="708" w:footer="708" w:gutter="0"/>
          <w:cols w:space="708"/>
          <w:docGrid w:linePitch="360"/>
        </w:sectPr>
      </w:pPr>
    </w:p>
    <w:tbl>
      <w:tblPr>
        <w:tblStyle w:val="Tabelamrea"/>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242"/>
      </w:tblGrid>
      <w:tr w:rsidR="00D259A9" w:rsidRPr="00697D3B" w14:paraId="5B8C91EF" w14:textId="77777777" w:rsidTr="00C40D71">
        <w:trPr>
          <w:trHeight w:val="170"/>
        </w:trPr>
        <w:tc>
          <w:tcPr>
            <w:tcW w:w="3114" w:type="dxa"/>
          </w:tcPr>
          <w:p w14:paraId="3F290AFC" w14:textId="2B472248" w:rsidR="00D259A9" w:rsidRPr="00697D3B" w:rsidRDefault="00D259A9" w:rsidP="000E0300">
            <w:pPr>
              <w:rPr>
                <w:rFonts w:cs="Arial"/>
                <w:sz w:val="22"/>
                <w:szCs w:val="22"/>
                <w:lang w:val="sl-SI"/>
              </w:rPr>
            </w:pPr>
            <w:r w:rsidRPr="00697D3B">
              <w:rPr>
                <w:rFonts w:cs="Arial"/>
                <w:sz w:val="22"/>
                <w:szCs w:val="22"/>
                <w:lang w:val="sl-SI"/>
              </w:rPr>
              <w:lastRenderedPageBreak/>
              <w:t>Oblikovno pripravil:</w:t>
            </w:r>
          </w:p>
        </w:tc>
        <w:tc>
          <w:tcPr>
            <w:tcW w:w="6242" w:type="dxa"/>
          </w:tcPr>
          <w:p w14:paraId="24974DB3" w14:textId="77777777" w:rsidR="00D259A9" w:rsidRPr="00697D3B" w:rsidRDefault="00D259A9" w:rsidP="000E0300">
            <w:pPr>
              <w:rPr>
                <w:rFonts w:cs="Arial"/>
                <w:sz w:val="22"/>
                <w:szCs w:val="22"/>
                <w:lang w:val="sl-SI"/>
              </w:rPr>
            </w:pPr>
            <w:r w:rsidRPr="00697D3B">
              <w:rPr>
                <w:rFonts w:cs="Arial"/>
                <w:sz w:val="22"/>
                <w:szCs w:val="22"/>
                <w:lang w:val="sl-SI"/>
              </w:rPr>
              <w:t xml:space="preserve">Ministrstvo za javno upravo </w:t>
            </w:r>
          </w:p>
        </w:tc>
      </w:tr>
      <w:tr w:rsidR="00D259A9" w:rsidRPr="00697D3B" w14:paraId="32309300" w14:textId="77777777" w:rsidTr="00C40D71">
        <w:trPr>
          <w:trHeight w:val="456"/>
        </w:trPr>
        <w:tc>
          <w:tcPr>
            <w:tcW w:w="3114" w:type="dxa"/>
          </w:tcPr>
          <w:p w14:paraId="3AC769B9" w14:textId="77777777" w:rsidR="00D259A9" w:rsidRPr="00697D3B" w:rsidRDefault="00D259A9" w:rsidP="000E0300">
            <w:pPr>
              <w:rPr>
                <w:rFonts w:cs="Arial"/>
                <w:sz w:val="22"/>
                <w:szCs w:val="22"/>
                <w:lang w:val="sl-SI"/>
              </w:rPr>
            </w:pPr>
            <w:r w:rsidRPr="00697D3B">
              <w:rPr>
                <w:rFonts w:cs="Arial"/>
                <w:sz w:val="22"/>
                <w:szCs w:val="22"/>
                <w:lang w:val="sl-SI"/>
              </w:rPr>
              <w:t>Datum kreiranja:</w:t>
            </w:r>
          </w:p>
        </w:tc>
        <w:tc>
          <w:tcPr>
            <w:tcW w:w="6242" w:type="dxa"/>
          </w:tcPr>
          <w:p w14:paraId="0F2FA744" w14:textId="5D251744" w:rsidR="00D259A9" w:rsidRPr="00697D3B" w:rsidRDefault="00D259A9" w:rsidP="000E0300">
            <w:pPr>
              <w:rPr>
                <w:rFonts w:cs="Arial"/>
                <w:sz w:val="22"/>
                <w:szCs w:val="22"/>
                <w:lang w:val="sl-SI"/>
              </w:rPr>
            </w:pPr>
            <w:r w:rsidRPr="00697D3B">
              <w:rPr>
                <w:rFonts w:cs="Arial"/>
                <w:sz w:val="22"/>
                <w:szCs w:val="22"/>
                <w:lang w:val="sl-SI"/>
              </w:rPr>
              <w:t>December 2025</w:t>
            </w:r>
          </w:p>
        </w:tc>
      </w:tr>
      <w:tr w:rsidR="00D259A9" w:rsidRPr="00697D3B" w14:paraId="16EEAB9E" w14:textId="77777777" w:rsidTr="00C40D71">
        <w:trPr>
          <w:trHeight w:val="170"/>
        </w:trPr>
        <w:tc>
          <w:tcPr>
            <w:tcW w:w="3114" w:type="dxa"/>
          </w:tcPr>
          <w:p w14:paraId="425F9D12" w14:textId="77777777" w:rsidR="00D259A9" w:rsidRPr="00697D3B" w:rsidRDefault="00D259A9" w:rsidP="000E0300">
            <w:pPr>
              <w:rPr>
                <w:rFonts w:cs="Arial"/>
                <w:sz w:val="22"/>
                <w:szCs w:val="22"/>
                <w:lang w:val="sl-SI"/>
              </w:rPr>
            </w:pPr>
            <w:r w:rsidRPr="00697D3B">
              <w:rPr>
                <w:rFonts w:cs="Arial"/>
                <w:sz w:val="22"/>
                <w:szCs w:val="22"/>
                <w:lang w:val="sl-SI"/>
              </w:rPr>
              <w:t>Status dokumenta:</w:t>
            </w:r>
          </w:p>
        </w:tc>
        <w:tc>
          <w:tcPr>
            <w:tcW w:w="6242" w:type="dxa"/>
          </w:tcPr>
          <w:p w14:paraId="69199ED1" w14:textId="77777777" w:rsidR="00D259A9" w:rsidRPr="00697D3B" w:rsidRDefault="00D259A9" w:rsidP="000E0300">
            <w:pPr>
              <w:rPr>
                <w:rFonts w:cs="Arial"/>
                <w:sz w:val="22"/>
                <w:szCs w:val="22"/>
                <w:lang w:val="sl-SI"/>
              </w:rPr>
            </w:pPr>
            <w:r w:rsidRPr="00697D3B">
              <w:rPr>
                <w:rFonts w:cs="Arial"/>
                <w:sz w:val="22"/>
                <w:szCs w:val="22"/>
                <w:lang w:val="sl-SI"/>
              </w:rPr>
              <w:t>Končno poročilo</w:t>
            </w:r>
          </w:p>
        </w:tc>
      </w:tr>
      <w:tr w:rsidR="00D259A9" w:rsidRPr="00697D3B" w14:paraId="711B4A61" w14:textId="77777777" w:rsidTr="00C40D71">
        <w:trPr>
          <w:trHeight w:val="170"/>
        </w:trPr>
        <w:tc>
          <w:tcPr>
            <w:tcW w:w="3114" w:type="dxa"/>
          </w:tcPr>
          <w:p w14:paraId="5D3A9142" w14:textId="0B6F45F4" w:rsidR="00D259A9" w:rsidRPr="00697D3B" w:rsidRDefault="00F80C01" w:rsidP="000E0300">
            <w:pPr>
              <w:rPr>
                <w:rFonts w:cs="Arial"/>
                <w:sz w:val="22"/>
                <w:szCs w:val="22"/>
                <w:lang w:val="sl-SI"/>
              </w:rPr>
            </w:pPr>
            <w:r>
              <w:rPr>
                <w:rFonts w:cs="Arial"/>
                <w:sz w:val="22"/>
                <w:szCs w:val="22"/>
                <w:lang w:val="sl-SI"/>
              </w:rPr>
              <w:t>Nosilec ukrepa</w:t>
            </w:r>
            <w:r w:rsidR="00D259A9" w:rsidRPr="00697D3B">
              <w:rPr>
                <w:rFonts w:cs="Arial"/>
                <w:sz w:val="22"/>
                <w:szCs w:val="22"/>
                <w:lang w:val="sl-SI"/>
              </w:rPr>
              <w:t>:</w:t>
            </w:r>
          </w:p>
        </w:tc>
        <w:tc>
          <w:tcPr>
            <w:tcW w:w="6242" w:type="dxa"/>
          </w:tcPr>
          <w:p w14:paraId="2AE3680B" w14:textId="34F199D6" w:rsidR="00D259A9" w:rsidRPr="00697D3B" w:rsidRDefault="00D2690C" w:rsidP="000E0300">
            <w:pPr>
              <w:rPr>
                <w:rFonts w:cs="Arial"/>
                <w:sz w:val="22"/>
                <w:szCs w:val="22"/>
                <w:lang w:val="sl-SI"/>
              </w:rPr>
            </w:pPr>
            <w:r w:rsidRPr="00D2690C">
              <w:rPr>
                <w:rFonts w:cs="Arial"/>
                <w:color w:val="000000"/>
                <w:sz w:val="22"/>
                <w:szCs w:val="22"/>
                <w:lang w:val="sl-SI" w:eastAsia="sl-SI"/>
              </w:rPr>
              <w:t>Ministrstvo za infrastrukturo</w:t>
            </w:r>
          </w:p>
        </w:tc>
      </w:tr>
    </w:tbl>
    <w:p w14:paraId="54441373" w14:textId="77777777" w:rsidR="00656187" w:rsidRPr="00605A65" w:rsidRDefault="00656187" w:rsidP="00D259A9">
      <w:pPr>
        <w:rPr>
          <w:rFonts w:asciiTheme="majorHAnsi" w:hAnsiTheme="majorHAnsi"/>
          <w:color w:val="0F4761" w:themeColor="accent1" w:themeShade="BF"/>
          <w:sz w:val="32"/>
          <w:szCs w:val="32"/>
          <w:lang w:val="sl-SI"/>
        </w:rPr>
      </w:pPr>
    </w:p>
    <w:p w14:paraId="7166A305" w14:textId="77777777" w:rsidR="00915D00" w:rsidRPr="00915D00" w:rsidRDefault="00915D00" w:rsidP="00915D00">
      <w:pPr>
        <w:spacing w:before="0" w:after="0" w:line="0" w:lineRule="atLeast"/>
        <w:rPr>
          <w:rFonts w:asciiTheme="majorHAnsi" w:hAnsiTheme="majorHAnsi"/>
          <w:color w:val="0F4761" w:themeColor="accent1" w:themeShade="BF"/>
          <w:sz w:val="32"/>
          <w:szCs w:val="32"/>
          <w:u w:val="single"/>
          <w:lang w:val="sl-SI"/>
        </w:rPr>
      </w:pPr>
      <w:r w:rsidRPr="00915D00">
        <w:rPr>
          <w:rFonts w:asciiTheme="majorHAnsi" w:hAnsiTheme="majorHAnsi"/>
          <w:color w:val="0F4761" w:themeColor="accent1" w:themeShade="BF"/>
          <w:sz w:val="32"/>
          <w:szCs w:val="32"/>
          <w:u w:val="single"/>
          <w:lang w:val="sl-SI"/>
        </w:rPr>
        <w:t>Opis sprememb</w:t>
      </w:r>
    </w:p>
    <w:p w14:paraId="0988E50A" w14:textId="77777777" w:rsidR="00915D00" w:rsidRPr="00915D00" w:rsidRDefault="00915D00" w:rsidP="00915D00">
      <w:pPr>
        <w:spacing w:before="0" w:after="0" w:line="0" w:lineRule="atLeast"/>
        <w:jc w:val="both"/>
        <w:rPr>
          <w:rFonts w:asciiTheme="majorHAnsi" w:hAnsiTheme="majorHAnsi"/>
          <w:sz w:val="22"/>
          <w:szCs w:val="22"/>
          <w:lang w:val="sl-SI"/>
        </w:rPr>
      </w:pPr>
      <w:r w:rsidRPr="00915D00">
        <w:rPr>
          <w:rFonts w:asciiTheme="majorHAnsi" w:hAnsiTheme="majorHAnsi"/>
          <w:sz w:val="22"/>
          <w:szCs w:val="22"/>
          <w:lang w:val="sl-SI"/>
        </w:rPr>
        <w:t>Ukrep je bil izveden v okviru sprememb Zakona o prevozih v cestnem prometu (ZPCP-2) in Pravilnika o temeljnih kvalifikacijah in rednem usposabljanju za voznike motornih vozil v cestnem prometu. Spremembe so naslovile področje usposabljanja poklicnih voznikov in prinesle več novosti:</w:t>
      </w:r>
    </w:p>
    <w:p w14:paraId="63C76B99" w14:textId="77777777" w:rsidR="00915D00" w:rsidRPr="00915D00" w:rsidRDefault="00915D00" w:rsidP="00915D00">
      <w:pPr>
        <w:numPr>
          <w:ilvl w:val="0"/>
          <w:numId w:val="38"/>
        </w:numPr>
        <w:spacing w:before="0" w:after="0" w:line="0" w:lineRule="atLeast"/>
        <w:jc w:val="both"/>
        <w:rPr>
          <w:rFonts w:asciiTheme="majorHAnsi" w:hAnsiTheme="majorHAnsi"/>
          <w:sz w:val="22"/>
          <w:szCs w:val="22"/>
          <w:lang w:val="sl-SI"/>
        </w:rPr>
      </w:pPr>
      <w:r w:rsidRPr="00915D00">
        <w:rPr>
          <w:rFonts w:asciiTheme="majorHAnsi" w:hAnsiTheme="majorHAnsi"/>
          <w:sz w:val="22"/>
          <w:szCs w:val="22"/>
          <w:lang w:val="sl-SI"/>
        </w:rPr>
        <w:t>Omejitev veljavnosti javnega pooblastila pooblaščenim izpitnim centrom za izvajanje strokovne usposobljenosti in izobraževanja poklicnih voznikov (koda 95) na 10 let (predhodno ni bilo časovne omejitve). Dodana je tudi možnost odvzema pooblastila, kar prispeva k večji kakovosti usposabljanja.</w:t>
      </w:r>
    </w:p>
    <w:p w14:paraId="7477CAE9" w14:textId="77777777" w:rsidR="00915D00" w:rsidRPr="00915D00" w:rsidRDefault="00915D00" w:rsidP="00915D00">
      <w:pPr>
        <w:numPr>
          <w:ilvl w:val="0"/>
          <w:numId w:val="38"/>
        </w:numPr>
        <w:spacing w:before="0" w:after="0" w:line="0" w:lineRule="atLeast"/>
        <w:jc w:val="both"/>
        <w:rPr>
          <w:rFonts w:asciiTheme="majorHAnsi" w:hAnsiTheme="majorHAnsi"/>
          <w:sz w:val="22"/>
          <w:szCs w:val="22"/>
          <w:lang w:val="sl-SI"/>
        </w:rPr>
      </w:pPr>
      <w:r w:rsidRPr="00915D00">
        <w:rPr>
          <w:rFonts w:asciiTheme="majorHAnsi" w:hAnsiTheme="majorHAnsi"/>
          <w:sz w:val="22"/>
          <w:szCs w:val="22"/>
          <w:lang w:val="sl-SI"/>
        </w:rPr>
        <w:t>Pravna podlaga za izvedbo novega javnega razpisa za izbor izvajalcev usposabljanj vsakih 10 let, kar pomeni administrativno obremenitev za državo in centre, ki bodo morali ponovno zbirati dokumentacijo.</w:t>
      </w:r>
    </w:p>
    <w:p w14:paraId="32B02FED" w14:textId="77777777" w:rsidR="00915D00" w:rsidRPr="00915D00" w:rsidRDefault="00915D00" w:rsidP="00915D00">
      <w:pPr>
        <w:numPr>
          <w:ilvl w:val="0"/>
          <w:numId w:val="38"/>
        </w:numPr>
        <w:spacing w:before="0" w:after="0" w:line="0" w:lineRule="atLeast"/>
        <w:jc w:val="both"/>
        <w:rPr>
          <w:rFonts w:asciiTheme="majorHAnsi" w:hAnsiTheme="majorHAnsi"/>
          <w:sz w:val="22"/>
          <w:szCs w:val="22"/>
          <w:lang w:val="sl-SI"/>
        </w:rPr>
      </w:pPr>
      <w:r w:rsidRPr="00915D00">
        <w:rPr>
          <w:rFonts w:asciiTheme="majorHAnsi" w:hAnsiTheme="majorHAnsi"/>
          <w:sz w:val="22"/>
          <w:szCs w:val="22"/>
          <w:lang w:val="sl-SI"/>
        </w:rPr>
        <w:t>Razširitev nadzora IRSI na celoten postopek pridobivanja temeljne kvalifikacije in strokovne usposobljenosti, ne le na redno usposabljanje, kar zagotavlja večjo skladnost izvajalcev s pravili.</w:t>
      </w:r>
    </w:p>
    <w:p w14:paraId="2C2B6480" w14:textId="77777777" w:rsidR="00915D00" w:rsidRPr="00915D00" w:rsidRDefault="00915D00" w:rsidP="00915D00">
      <w:pPr>
        <w:spacing w:before="0" w:after="0" w:line="0" w:lineRule="atLeast"/>
        <w:jc w:val="both"/>
        <w:rPr>
          <w:rFonts w:asciiTheme="majorHAnsi" w:hAnsiTheme="majorHAnsi"/>
          <w:sz w:val="22"/>
          <w:szCs w:val="22"/>
          <w:lang w:val="sl-SI"/>
        </w:rPr>
      </w:pPr>
    </w:p>
    <w:p w14:paraId="17BB4E55" w14:textId="77777777" w:rsidR="00915D00" w:rsidRPr="00915D00" w:rsidRDefault="00915D00" w:rsidP="00915D00">
      <w:pPr>
        <w:spacing w:before="0" w:after="0" w:line="0" w:lineRule="atLeast"/>
        <w:jc w:val="both"/>
        <w:rPr>
          <w:rFonts w:asciiTheme="majorHAnsi" w:hAnsiTheme="majorHAnsi"/>
          <w:sz w:val="22"/>
          <w:szCs w:val="22"/>
          <w:lang w:val="sl-SI"/>
        </w:rPr>
      </w:pPr>
      <w:r w:rsidRPr="00915D00">
        <w:rPr>
          <w:rFonts w:asciiTheme="majorHAnsi" w:hAnsiTheme="majorHAnsi"/>
          <w:sz w:val="22"/>
          <w:szCs w:val="22"/>
          <w:lang w:val="sl-SI"/>
        </w:rPr>
        <w:t>Pravilnik je prinesel dodatne spremembe:</w:t>
      </w:r>
    </w:p>
    <w:p w14:paraId="07B8BF77" w14:textId="77777777" w:rsidR="00915D00" w:rsidRPr="00915D00" w:rsidRDefault="00915D00" w:rsidP="00915D00">
      <w:pPr>
        <w:numPr>
          <w:ilvl w:val="0"/>
          <w:numId w:val="39"/>
        </w:numPr>
        <w:spacing w:before="0" w:after="0" w:line="0" w:lineRule="atLeast"/>
        <w:jc w:val="both"/>
        <w:rPr>
          <w:rFonts w:asciiTheme="majorHAnsi" w:hAnsiTheme="majorHAnsi"/>
          <w:sz w:val="22"/>
          <w:szCs w:val="22"/>
          <w:lang w:val="sl-SI"/>
        </w:rPr>
      </w:pPr>
      <w:r w:rsidRPr="00915D00">
        <w:rPr>
          <w:rFonts w:asciiTheme="majorHAnsi" w:hAnsiTheme="majorHAnsi"/>
          <w:sz w:val="22"/>
          <w:szCs w:val="22"/>
          <w:lang w:val="sl-SI"/>
        </w:rPr>
        <w:t>Vzpostavitev enotne elektronske evidence o temeljnih kvalifikacijah voznikov (pred tem je imel vsak center svoj IT sistem). Upravne enote lahko zdaj podatke pridobijo neposredno iz sistema, voznikom pa ni več treba prinašati pisnih dokazil.</w:t>
      </w:r>
    </w:p>
    <w:p w14:paraId="5595EEA1" w14:textId="77777777" w:rsidR="00915D00" w:rsidRPr="00915D00" w:rsidRDefault="00915D00" w:rsidP="00915D00">
      <w:pPr>
        <w:numPr>
          <w:ilvl w:val="0"/>
          <w:numId w:val="39"/>
        </w:numPr>
        <w:spacing w:before="0" w:after="0" w:line="0" w:lineRule="atLeast"/>
        <w:jc w:val="both"/>
        <w:rPr>
          <w:rFonts w:asciiTheme="majorHAnsi" w:hAnsiTheme="majorHAnsi"/>
          <w:sz w:val="22"/>
          <w:szCs w:val="22"/>
          <w:lang w:val="sl-SI"/>
        </w:rPr>
      </w:pPr>
      <w:r w:rsidRPr="00915D00">
        <w:rPr>
          <w:rFonts w:asciiTheme="majorHAnsi" w:hAnsiTheme="majorHAnsi"/>
          <w:sz w:val="22"/>
          <w:szCs w:val="22"/>
          <w:lang w:val="sl-SI"/>
        </w:rPr>
        <w:t>Dopolnitev kadrovskih pogojev predavateljev: redno usposabljanje lahko izvajajo tudi osebe s srednjo izobrazbo in 10 let delovnih izkušenj na področju predpisanih vsebin, kar omogoča vključitev strokovno usposobljenih kadrov brez visokošolske izobrazbe.</w:t>
      </w:r>
    </w:p>
    <w:p w14:paraId="73F06B61" w14:textId="77777777" w:rsidR="00915D00" w:rsidRPr="00915D00" w:rsidRDefault="00915D00" w:rsidP="00915D00">
      <w:pPr>
        <w:numPr>
          <w:ilvl w:val="0"/>
          <w:numId w:val="39"/>
        </w:numPr>
        <w:spacing w:before="0" w:after="0" w:line="0" w:lineRule="atLeast"/>
        <w:jc w:val="both"/>
        <w:rPr>
          <w:rFonts w:asciiTheme="majorHAnsi" w:hAnsiTheme="majorHAnsi"/>
          <w:sz w:val="22"/>
          <w:szCs w:val="22"/>
          <w:lang w:val="sl-SI"/>
        </w:rPr>
      </w:pPr>
      <w:r w:rsidRPr="00915D00">
        <w:rPr>
          <w:rFonts w:asciiTheme="majorHAnsi" w:hAnsiTheme="majorHAnsi"/>
          <w:sz w:val="22"/>
          <w:szCs w:val="22"/>
          <w:lang w:val="sl-SI"/>
        </w:rPr>
        <w:t>Izvedbeni načrti in učne metode: uvedba simulatorja za vožnjo kot prilagoditev tehnološkemu napredku.</w:t>
      </w:r>
    </w:p>
    <w:p w14:paraId="695460B9" w14:textId="77777777" w:rsidR="00915D00" w:rsidRPr="00915D00" w:rsidRDefault="00915D00" w:rsidP="00915D00">
      <w:pPr>
        <w:numPr>
          <w:ilvl w:val="0"/>
          <w:numId w:val="39"/>
        </w:numPr>
        <w:spacing w:before="0" w:after="0" w:line="0" w:lineRule="atLeast"/>
        <w:jc w:val="both"/>
        <w:rPr>
          <w:rFonts w:asciiTheme="majorHAnsi" w:hAnsiTheme="majorHAnsi"/>
          <w:sz w:val="22"/>
          <w:szCs w:val="22"/>
          <w:lang w:val="sl-SI"/>
        </w:rPr>
      </w:pPr>
      <w:r w:rsidRPr="00915D00">
        <w:rPr>
          <w:rFonts w:asciiTheme="majorHAnsi" w:hAnsiTheme="majorHAnsi"/>
          <w:sz w:val="22"/>
          <w:szCs w:val="22"/>
          <w:lang w:val="sl-SI"/>
        </w:rPr>
        <w:t>Pogoji glede prostorov: redno usposabljanje se mora izvajati v učilnicah, ki ustrezajo predpisanim standardom.</w:t>
      </w:r>
    </w:p>
    <w:p w14:paraId="650F760B" w14:textId="77777777" w:rsidR="00915D00" w:rsidRPr="00915D00" w:rsidRDefault="00915D00" w:rsidP="00915D00">
      <w:pPr>
        <w:spacing w:before="0" w:after="0" w:line="0" w:lineRule="atLeast"/>
        <w:rPr>
          <w:rFonts w:asciiTheme="majorHAnsi" w:hAnsiTheme="majorHAnsi"/>
          <w:sz w:val="22"/>
          <w:szCs w:val="22"/>
          <w:lang w:val="sl-SI"/>
        </w:rPr>
      </w:pPr>
    </w:p>
    <w:p w14:paraId="1D305FDC" w14:textId="77777777" w:rsidR="00915D00" w:rsidRPr="00915D00" w:rsidRDefault="00915D00" w:rsidP="00915D00">
      <w:pPr>
        <w:spacing w:before="0" w:after="0" w:line="0" w:lineRule="atLeast"/>
        <w:rPr>
          <w:rFonts w:asciiTheme="majorHAnsi" w:hAnsiTheme="majorHAnsi"/>
          <w:color w:val="0F4761" w:themeColor="accent1" w:themeShade="BF"/>
          <w:sz w:val="32"/>
          <w:szCs w:val="32"/>
          <w:u w:val="single"/>
          <w:lang w:val="sl-SI"/>
        </w:rPr>
      </w:pPr>
      <w:r w:rsidRPr="00915D00">
        <w:rPr>
          <w:rFonts w:asciiTheme="majorHAnsi" w:hAnsiTheme="majorHAnsi"/>
          <w:color w:val="0F4761" w:themeColor="accent1" w:themeShade="BF"/>
          <w:sz w:val="32"/>
          <w:szCs w:val="32"/>
          <w:u w:val="single"/>
          <w:lang w:val="sl-SI"/>
        </w:rPr>
        <w:t>Zakonodaja, ki jo je bilo potrebno spremeniti</w:t>
      </w:r>
    </w:p>
    <w:p w14:paraId="63DA48EC" w14:textId="77777777" w:rsidR="00915D00" w:rsidRPr="00915D00" w:rsidRDefault="00915D00" w:rsidP="00915D00">
      <w:pPr>
        <w:numPr>
          <w:ilvl w:val="0"/>
          <w:numId w:val="40"/>
        </w:numPr>
        <w:spacing w:before="0" w:after="0" w:line="0" w:lineRule="atLeast"/>
        <w:rPr>
          <w:rFonts w:asciiTheme="majorHAnsi" w:hAnsiTheme="majorHAnsi"/>
          <w:sz w:val="22"/>
          <w:szCs w:val="22"/>
          <w:lang w:val="sl-SI"/>
        </w:rPr>
      </w:pPr>
      <w:r w:rsidRPr="00915D00">
        <w:rPr>
          <w:rFonts w:asciiTheme="majorHAnsi" w:hAnsiTheme="majorHAnsi"/>
          <w:sz w:val="22"/>
          <w:szCs w:val="22"/>
          <w:lang w:val="sl-SI"/>
        </w:rPr>
        <w:t>Zakon o prevozih v cestnem prometu (ZPCP-2)</w:t>
      </w:r>
    </w:p>
    <w:p w14:paraId="482C62F2" w14:textId="77777777" w:rsidR="00915D00" w:rsidRPr="00915D00" w:rsidRDefault="00915D00" w:rsidP="00915D00">
      <w:pPr>
        <w:numPr>
          <w:ilvl w:val="0"/>
          <w:numId w:val="40"/>
        </w:numPr>
        <w:spacing w:before="0" w:after="0" w:line="0" w:lineRule="atLeast"/>
        <w:rPr>
          <w:rFonts w:asciiTheme="majorHAnsi" w:eastAsia="Book Antiqua" w:hAnsiTheme="majorHAnsi" w:cs="Book Antiqua"/>
          <w:sz w:val="22"/>
          <w:szCs w:val="22"/>
          <w:lang w:val="sl-SI"/>
        </w:rPr>
      </w:pPr>
      <w:r w:rsidRPr="00915D00">
        <w:rPr>
          <w:rFonts w:asciiTheme="majorHAnsi" w:hAnsiTheme="majorHAnsi"/>
          <w:sz w:val="22"/>
          <w:szCs w:val="22"/>
          <w:lang w:val="sl-SI"/>
        </w:rPr>
        <w:t xml:space="preserve">Pravilnik o temeljnih kvalifikacijah in rednem usposabljanju za voznike motornih vozil v cestnem prometu </w:t>
      </w:r>
      <w:r w:rsidRPr="00915D00">
        <w:rPr>
          <w:rFonts w:asciiTheme="majorHAnsi" w:eastAsia="Book Antiqua" w:hAnsiTheme="majorHAnsi" w:cs="Book Antiqua"/>
          <w:sz w:val="22"/>
          <w:szCs w:val="22"/>
          <w:lang w:val="sl-SI"/>
        </w:rPr>
        <w:t>(Uradni list RS, št. 15/25)</w:t>
      </w:r>
    </w:p>
    <w:p w14:paraId="69DCB641" w14:textId="77777777" w:rsidR="00915D00" w:rsidRPr="00915D00" w:rsidRDefault="00915D00" w:rsidP="00915D00">
      <w:pPr>
        <w:spacing w:before="0" w:after="0" w:line="0" w:lineRule="atLeast"/>
        <w:rPr>
          <w:rFonts w:asciiTheme="majorHAnsi" w:hAnsiTheme="majorHAnsi"/>
          <w:sz w:val="22"/>
          <w:szCs w:val="22"/>
          <w:lang w:val="sl-SI"/>
        </w:rPr>
      </w:pPr>
    </w:p>
    <w:p w14:paraId="5348BB5F" w14:textId="77777777" w:rsidR="00915D00" w:rsidRPr="00915D00" w:rsidRDefault="00915D00" w:rsidP="00915D00">
      <w:pPr>
        <w:spacing w:before="0" w:after="0" w:line="0" w:lineRule="atLeast"/>
        <w:rPr>
          <w:rFonts w:asciiTheme="majorHAnsi" w:hAnsiTheme="majorHAnsi"/>
          <w:color w:val="0F4761" w:themeColor="accent1" w:themeShade="BF"/>
          <w:sz w:val="32"/>
          <w:szCs w:val="32"/>
          <w:u w:val="single"/>
          <w:lang w:val="sl-SI"/>
        </w:rPr>
      </w:pPr>
      <w:r w:rsidRPr="00915D00">
        <w:rPr>
          <w:rFonts w:asciiTheme="majorHAnsi" w:hAnsiTheme="majorHAnsi"/>
          <w:color w:val="0F4761" w:themeColor="accent1" w:themeShade="BF"/>
          <w:sz w:val="32"/>
          <w:szCs w:val="32"/>
          <w:u w:val="single"/>
          <w:lang w:val="sl-SI"/>
        </w:rPr>
        <w:t>Bistvo administrativne razbremenitve</w:t>
      </w:r>
    </w:p>
    <w:p w14:paraId="28490A99" w14:textId="77777777" w:rsidR="00915D00" w:rsidRPr="00915D00" w:rsidRDefault="00915D00" w:rsidP="00915D00">
      <w:pPr>
        <w:numPr>
          <w:ilvl w:val="0"/>
          <w:numId w:val="41"/>
        </w:numPr>
        <w:spacing w:before="0" w:after="0" w:line="0" w:lineRule="atLeast"/>
        <w:rPr>
          <w:rFonts w:asciiTheme="majorHAnsi" w:hAnsiTheme="majorHAnsi"/>
          <w:sz w:val="22"/>
          <w:szCs w:val="22"/>
          <w:lang w:val="sl-SI"/>
        </w:rPr>
      </w:pPr>
      <w:r w:rsidRPr="00915D00">
        <w:rPr>
          <w:rFonts w:asciiTheme="majorHAnsi" w:hAnsiTheme="majorHAnsi"/>
          <w:sz w:val="22"/>
          <w:szCs w:val="22"/>
          <w:lang w:val="sl-SI"/>
        </w:rPr>
        <w:t>Digitalizacija postopkov (enotna elektronska evidenca)</w:t>
      </w:r>
    </w:p>
    <w:p w14:paraId="15285651" w14:textId="77777777" w:rsidR="00915D00" w:rsidRPr="00915D00" w:rsidRDefault="00915D00" w:rsidP="00915D00">
      <w:pPr>
        <w:numPr>
          <w:ilvl w:val="0"/>
          <w:numId w:val="41"/>
        </w:numPr>
        <w:spacing w:before="0" w:after="0" w:line="0" w:lineRule="atLeast"/>
        <w:rPr>
          <w:rFonts w:asciiTheme="majorHAnsi" w:hAnsiTheme="majorHAnsi"/>
          <w:sz w:val="22"/>
          <w:szCs w:val="22"/>
          <w:lang w:val="sl-SI"/>
        </w:rPr>
      </w:pPr>
      <w:r w:rsidRPr="00915D00">
        <w:rPr>
          <w:rFonts w:asciiTheme="majorHAnsi" w:hAnsiTheme="majorHAnsi"/>
          <w:sz w:val="22"/>
          <w:szCs w:val="22"/>
          <w:lang w:val="sl-SI"/>
        </w:rPr>
        <w:t>Odprava potrebe po fizičnih dokazilih za upravne enote</w:t>
      </w:r>
    </w:p>
    <w:p w14:paraId="478426E2" w14:textId="77777777" w:rsidR="00915D00" w:rsidRPr="00915D00" w:rsidRDefault="00915D00" w:rsidP="00915D00">
      <w:pPr>
        <w:numPr>
          <w:ilvl w:val="0"/>
          <w:numId w:val="41"/>
        </w:numPr>
        <w:spacing w:before="0" w:after="0" w:line="0" w:lineRule="atLeast"/>
        <w:rPr>
          <w:rFonts w:asciiTheme="majorHAnsi" w:hAnsiTheme="majorHAnsi"/>
          <w:sz w:val="22"/>
          <w:szCs w:val="22"/>
          <w:lang w:val="sl-SI"/>
        </w:rPr>
      </w:pPr>
      <w:r w:rsidRPr="00915D00">
        <w:rPr>
          <w:rFonts w:asciiTheme="majorHAnsi" w:hAnsiTheme="majorHAnsi"/>
          <w:sz w:val="22"/>
          <w:szCs w:val="22"/>
          <w:lang w:val="sl-SI"/>
        </w:rPr>
        <w:t>Jasnejši pogoji za izvajalce in nadzor nad kakovostjo usposabljanja</w:t>
      </w:r>
    </w:p>
    <w:p w14:paraId="33D4948D" w14:textId="77777777" w:rsidR="00915D00" w:rsidRPr="00915D00" w:rsidRDefault="00915D00" w:rsidP="00915D00">
      <w:pPr>
        <w:numPr>
          <w:ilvl w:val="0"/>
          <w:numId w:val="41"/>
        </w:numPr>
        <w:spacing w:before="0" w:after="0" w:line="0" w:lineRule="atLeast"/>
        <w:rPr>
          <w:rFonts w:asciiTheme="majorHAnsi" w:hAnsiTheme="majorHAnsi"/>
          <w:sz w:val="22"/>
          <w:szCs w:val="22"/>
          <w:lang w:val="sl-SI"/>
        </w:rPr>
      </w:pPr>
      <w:r w:rsidRPr="00915D00">
        <w:rPr>
          <w:rFonts w:asciiTheme="majorHAnsi" w:hAnsiTheme="majorHAnsi"/>
          <w:sz w:val="22"/>
          <w:szCs w:val="22"/>
          <w:lang w:val="sl-SI"/>
        </w:rPr>
        <w:t>Olajšanje kadrovskih pogojev za predavatelje</w:t>
      </w:r>
    </w:p>
    <w:p w14:paraId="7D53C700" w14:textId="77777777" w:rsidR="00915D00" w:rsidRPr="00915D00" w:rsidRDefault="00915D00" w:rsidP="00915D00">
      <w:pPr>
        <w:spacing w:before="0" w:after="0" w:line="0" w:lineRule="atLeast"/>
        <w:rPr>
          <w:rFonts w:asciiTheme="majorHAnsi" w:hAnsiTheme="majorHAnsi"/>
          <w:sz w:val="22"/>
          <w:szCs w:val="22"/>
          <w:lang w:val="sl-SI"/>
        </w:rPr>
      </w:pPr>
    </w:p>
    <w:p w14:paraId="12064CC7" w14:textId="77777777" w:rsidR="00915D00" w:rsidRPr="00915D00" w:rsidRDefault="00915D00" w:rsidP="00915D00">
      <w:pPr>
        <w:spacing w:before="0" w:after="0" w:line="0" w:lineRule="atLeast"/>
        <w:rPr>
          <w:rFonts w:asciiTheme="majorHAnsi" w:hAnsiTheme="majorHAnsi"/>
          <w:color w:val="0F4761" w:themeColor="accent1" w:themeShade="BF"/>
          <w:sz w:val="32"/>
          <w:szCs w:val="32"/>
          <w:u w:val="single"/>
          <w:lang w:val="sl-SI"/>
        </w:rPr>
      </w:pPr>
      <w:r w:rsidRPr="00915D00">
        <w:rPr>
          <w:rFonts w:asciiTheme="majorHAnsi" w:hAnsiTheme="majorHAnsi"/>
          <w:color w:val="0F4761" w:themeColor="accent1" w:themeShade="BF"/>
          <w:sz w:val="32"/>
          <w:szCs w:val="32"/>
          <w:u w:val="single"/>
          <w:lang w:val="sl-SI"/>
        </w:rPr>
        <w:t>Na koga sprememba vpliva</w:t>
      </w:r>
    </w:p>
    <w:p w14:paraId="16BC38D9" w14:textId="77777777" w:rsidR="00915D00" w:rsidRPr="00915D00" w:rsidRDefault="00915D00" w:rsidP="00915D00">
      <w:pPr>
        <w:numPr>
          <w:ilvl w:val="0"/>
          <w:numId w:val="42"/>
        </w:numPr>
        <w:spacing w:before="0" w:after="0" w:line="0" w:lineRule="atLeast"/>
        <w:rPr>
          <w:rFonts w:asciiTheme="majorHAnsi" w:hAnsiTheme="majorHAnsi"/>
          <w:sz w:val="22"/>
          <w:szCs w:val="22"/>
          <w:lang w:val="sl-SI"/>
        </w:rPr>
      </w:pPr>
      <w:r w:rsidRPr="00915D00">
        <w:rPr>
          <w:rFonts w:asciiTheme="majorHAnsi" w:hAnsiTheme="majorHAnsi"/>
          <w:sz w:val="22"/>
          <w:szCs w:val="22"/>
          <w:lang w:val="sl-SI"/>
        </w:rPr>
        <w:t>Poklicne voznike (koda 95)</w:t>
      </w:r>
    </w:p>
    <w:p w14:paraId="4DDDAC68" w14:textId="77777777" w:rsidR="00915D00" w:rsidRPr="00915D00" w:rsidRDefault="00915D00" w:rsidP="00915D00">
      <w:pPr>
        <w:numPr>
          <w:ilvl w:val="0"/>
          <w:numId w:val="42"/>
        </w:numPr>
        <w:spacing w:before="0" w:after="0" w:line="0" w:lineRule="atLeast"/>
        <w:rPr>
          <w:rFonts w:asciiTheme="majorHAnsi" w:hAnsiTheme="majorHAnsi"/>
          <w:sz w:val="22"/>
          <w:szCs w:val="22"/>
          <w:lang w:val="sl-SI"/>
        </w:rPr>
      </w:pPr>
      <w:r w:rsidRPr="00915D00">
        <w:rPr>
          <w:rFonts w:asciiTheme="majorHAnsi" w:hAnsiTheme="majorHAnsi"/>
          <w:sz w:val="22"/>
          <w:szCs w:val="22"/>
          <w:lang w:val="sl-SI"/>
        </w:rPr>
        <w:t>Pooblaščene izpitne centre</w:t>
      </w:r>
    </w:p>
    <w:p w14:paraId="4C2BE7E0" w14:textId="77777777" w:rsidR="00915D00" w:rsidRPr="00915D00" w:rsidRDefault="00915D00" w:rsidP="00915D00">
      <w:pPr>
        <w:numPr>
          <w:ilvl w:val="0"/>
          <w:numId w:val="42"/>
        </w:numPr>
        <w:spacing w:before="0" w:after="0" w:line="0" w:lineRule="atLeast"/>
        <w:rPr>
          <w:rFonts w:asciiTheme="majorHAnsi" w:hAnsiTheme="majorHAnsi"/>
          <w:sz w:val="22"/>
          <w:szCs w:val="22"/>
          <w:lang w:val="sl-SI"/>
        </w:rPr>
      </w:pPr>
      <w:r w:rsidRPr="00915D00">
        <w:rPr>
          <w:rFonts w:asciiTheme="majorHAnsi" w:hAnsiTheme="majorHAnsi"/>
          <w:sz w:val="22"/>
          <w:szCs w:val="22"/>
          <w:lang w:val="sl-SI"/>
        </w:rPr>
        <w:lastRenderedPageBreak/>
        <w:t>Upravne enote</w:t>
      </w:r>
    </w:p>
    <w:p w14:paraId="4B6B4AE6" w14:textId="77777777" w:rsidR="00915D00" w:rsidRPr="00915D00" w:rsidRDefault="00915D00" w:rsidP="00915D00">
      <w:pPr>
        <w:numPr>
          <w:ilvl w:val="0"/>
          <w:numId w:val="42"/>
        </w:numPr>
        <w:spacing w:before="0" w:after="0" w:line="0" w:lineRule="atLeast"/>
        <w:rPr>
          <w:rFonts w:asciiTheme="majorHAnsi" w:hAnsiTheme="majorHAnsi"/>
          <w:sz w:val="22"/>
          <w:szCs w:val="22"/>
          <w:lang w:val="sl-SI"/>
        </w:rPr>
      </w:pPr>
      <w:r w:rsidRPr="00915D00">
        <w:rPr>
          <w:rFonts w:asciiTheme="majorHAnsi" w:hAnsiTheme="majorHAnsi"/>
          <w:sz w:val="22"/>
          <w:szCs w:val="22"/>
          <w:lang w:val="sl-SI"/>
        </w:rPr>
        <w:t>Ministrstvo za infrastrukturo (MZI)</w:t>
      </w:r>
    </w:p>
    <w:p w14:paraId="6E25412E" w14:textId="77777777" w:rsidR="00915D00" w:rsidRPr="00915D00" w:rsidRDefault="00915D00" w:rsidP="00915D00">
      <w:pPr>
        <w:numPr>
          <w:ilvl w:val="0"/>
          <w:numId w:val="42"/>
        </w:numPr>
        <w:spacing w:before="0" w:after="0" w:line="0" w:lineRule="atLeast"/>
        <w:rPr>
          <w:rFonts w:asciiTheme="majorHAnsi" w:hAnsiTheme="majorHAnsi"/>
          <w:sz w:val="22"/>
          <w:szCs w:val="22"/>
          <w:lang w:val="sl-SI"/>
        </w:rPr>
      </w:pPr>
      <w:r w:rsidRPr="00915D00">
        <w:rPr>
          <w:rFonts w:asciiTheme="majorHAnsi" w:hAnsiTheme="majorHAnsi"/>
          <w:sz w:val="22"/>
          <w:szCs w:val="22"/>
          <w:lang w:val="sl-SI"/>
        </w:rPr>
        <w:t>Inšpekcijske službe (IRSI)</w:t>
      </w:r>
    </w:p>
    <w:p w14:paraId="26426392" w14:textId="77777777" w:rsidR="00915D00" w:rsidRPr="00915D00" w:rsidRDefault="00915D00" w:rsidP="00915D00">
      <w:pPr>
        <w:spacing w:before="0" w:after="0" w:line="0" w:lineRule="atLeast"/>
        <w:rPr>
          <w:rFonts w:asciiTheme="majorHAnsi" w:hAnsiTheme="majorHAnsi"/>
          <w:sz w:val="22"/>
          <w:szCs w:val="22"/>
          <w:lang w:val="sl-SI"/>
        </w:rPr>
      </w:pPr>
    </w:p>
    <w:p w14:paraId="5BF29435" w14:textId="77777777" w:rsidR="00915D00" w:rsidRPr="00915D00" w:rsidRDefault="00915D00" w:rsidP="00915D00">
      <w:pPr>
        <w:spacing w:before="0" w:after="0" w:line="0" w:lineRule="atLeast"/>
        <w:rPr>
          <w:rFonts w:asciiTheme="majorHAnsi" w:hAnsiTheme="majorHAnsi"/>
          <w:color w:val="0F4761" w:themeColor="accent1" w:themeShade="BF"/>
          <w:sz w:val="32"/>
          <w:szCs w:val="32"/>
          <w:u w:val="single"/>
          <w:lang w:val="sl-SI"/>
        </w:rPr>
      </w:pPr>
      <w:r w:rsidRPr="00915D00">
        <w:rPr>
          <w:rFonts w:asciiTheme="majorHAnsi" w:hAnsiTheme="majorHAnsi"/>
          <w:color w:val="0F4761" w:themeColor="accent1" w:themeShade="BF"/>
          <w:sz w:val="32"/>
          <w:szCs w:val="32"/>
          <w:u w:val="single"/>
          <w:lang w:val="sl-SI"/>
        </w:rPr>
        <w:t>Skupni učinki</w:t>
      </w:r>
    </w:p>
    <w:p w14:paraId="042C89A1" w14:textId="77777777" w:rsidR="00915D00" w:rsidRPr="00915D00" w:rsidRDefault="00915D00" w:rsidP="00915D00">
      <w:pPr>
        <w:spacing w:before="0" w:after="0" w:line="0" w:lineRule="atLeast"/>
        <w:jc w:val="both"/>
        <w:rPr>
          <w:rFonts w:asciiTheme="majorHAnsi" w:hAnsiTheme="majorHAnsi"/>
          <w:sz w:val="22"/>
          <w:szCs w:val="22"/>
          <w:lang w:val="sl-SI"/>
        </w:rPr>
      </w:pPr>
      <w:r w:rsidRPr="00915D00">
        <w:rPr>
          <w:rFonts w:asciiTheme="majorHAnsi" w:hAnsiTheme="majorHAnsi"/>
          <w:sz w:val="22"/>
          <w:szCs w:val="22"/>
          <w:lang w:val="sl-SI"/>
        </w:rPr>
        <w:t xml:space="preserve">Ukrep prinaša skupni letni prihranek 28.180,00 EUR skupaj za voznike (tuje ali domače) in pooblaščene centre za usposabljanje voznikov. </w:t>
      </w:r>
    </w:p>
    <w:p w14:paraId="3BA886D5" w14:textId="77777777" w:rsidR="00915D00" w:rsidRPr="00915D00" w:rsidRDefault="00915D00" w:rsidP="00915D00">
      <w:pPr>
        <w:spacing w:before="0" w:after="0" w:line="0" w:lineRule="atLeast"/>
        <w:jc w:val="both"/>
        <w:rPr>
          <w:rFonts w:asciiTheme="majorHAnsi" w:hAnsiTheme="majorHAnsi"/>
          <w:sz w:val="22"/>
          <w:szCs w:val="22"/>
          <w:lang w:val="sl-SI"/>
        </w:rPr>
      </w:pPr>
    </w:p>
    <w:p w14:paraId="2B74154C" w14:textId="66645800" w:rsidR="00FC185D" w:rsidRPr="00915D00" w:rsidRDefault="00915D00" w:rsidP="00915D00">
      <w:pPr>
        <w:spacing w:before="0" w:after="0" w:line="0" w:lineRule="atLeast"/>
        <w:jc w:val="both"/>
        <w:rPr>
          <w:rFonts w:asciiTheme="majorHAnsi" w:hAnsiTheme="majorHAnsi"/>
          <w:sz w:val="22"/>
          <w:szCs w:val="22"/>
          <w:lang w:val="sl-SI"/>
        </w:rPr>
      </w:pPr>
      <w:r w:rsidRPr="00915D00">
        <w:rPr>
          <w:rFonts w:asciiTheme="majorHAnsi" w:hAnsiTheme="majorHAnsi"/>
          <w:sz w:val="22"/>
          <w:szCs w:val="22"/>
          <w:lang w:val="sl-SI"/>
        </w:rPr>
        <w:t>Poleg finančnih učinkov ukrep prinaša tudi bistvene pozitivne učinke na kakovost usposabljanja, nadzor nad izvajalci ter prilagoditev tehnološkemu napredku.</w:t>
      </w:r>
    </w:p>
    <w:p w14:paraId="57EF5C00" w14:textId="797BD0EA" w:rsidR="001765E8" w:rsidRDefault="00915D00" w:rsidP="001765E8">
      <w:pPr>
        <w:rPr>
          <w:lang w:val="sl-SI"/>
        </w:rPr>
      </w:pPr>
      <w:r>
        <w:rPr>
          <w:lang w:val="sl-SI"/>
        </w:rPr>
        <w:t>TABELA kot slika:</w:t>
      </w:r>
    </w:p>
    <w:p w14:paraId="1A7D9A71" w14:textId="43D5F857" w:rsidR="00915D00" w:rsidRDefault="00D3744E" w:rsidP="001765E8">
      <w:pPr>
        <w:rPr>
          <w:lang w:val="sl-SI"/>
        </w:rPr>
      </w:pPr>
      <w:r w:rsidRPr="00D3744E">
        <w:rPr>
          <w:noProof/>
        </w:rPr>
        <w:drawing>
          <wp:inline distT="0" distB="0" distL="0" distR="0" wp14:anchorId="1335E192" wp14:editId="7156BD3A">
            <wp:extent cx="5760720" cy="3307080"/>
            <wp:effectExtent l="0" t="0" r="0" b="7620"/>
            <wp:docPr id="54987321"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307080"/>
                    </a:xfrm>
                    <a:prstGeom prst="rect">
                      <a:avLst/>
                    </a:prstGeom>
                    <a:noFill/>
                    <a:ln>
                      <a:noFill/>
                    </a:ln>
                  </pic:spPr>
                </pic:pic>
              </a:graphicData>
            </a:graphic>
          </wp:inline>
        </w:drawing>
      </w:r>
    </w:p>
    <w:p w14:paraId="16ED71BD" w14:textId="3696D870" w:rsidR="006B6787" w:rsidRPr="00F47631" w:rsidRDefault="00915D00" w:rsidP="001765E8">
      <w:pPr>
        <w:rPr>
          <w:b/>
          <w:bCs/>
          <w:lang w:val="sl-SI"/>
        </w:rPr>
      </w:pPr>
      <w:r w:rsidRPr="00F47631">
        <w:rPr>
          <w:b/>
          <w:bCs/>
          <w:lang w:val="sl-SI"/>
        </w:rPr>
        <w:t>Opis v ozadju:</w:t>
      </w:r>
    </w:p>
    <w:p w14:paraId="14A94791" w14:textId="77777777" w:rsidR="001765E8" w:rsidRPr="00F47631" w:rsidRDefault="001765E8" w:rsidP="001765E8">
      <w:pPr>
        <w:rPr>
          <w:highlight w:val="green"/>
          <w:lang w:val="sl-SI"/>
        </w:rPr>
      </w:pPr>
      <w:r w:rsidRPr="00F47631">
        <w:rPr>
          <w:highlight w:val="green"/>
          <w:lang w:val="sl-SI"/>
        </w:rPr>
        <w:t xml:space="preserve">Tabela prikazuje dve stanji: </w:t>
      </w:r>
    </w:p>
    <w:p w14:paraId="3D2B37CE" w14:textId="139469FF" w:rsidR="001765E8" w:rsidRPr="00F47631" w:rsidRDefault="00E91855" w:rsidP="00E91855">
      <w:pPr>
        <w:spacing w:before="0" w:after="0"/>
        <w:jc w:val="both"/>
        <w:rPr>
          <w:highlight w:val="green"/>
          <w:lang w:val="sl-SI"/>
        </w:rPr>
      </w:pPr>
      <w:r>
        <w:rPr>
          <w:highlight w:val="green"/>
          <w:lang w:val="sl-SI"/>
        </w:rPr>
        <w:t xml:space="preserve">Prvo stanje: </w:t>
      </w:r>
      <w:r w:rsidR="001765E8" w:rsidRPr="00F47631">
        <w:rPr>
          <w:highlight w:val="green"/>
          <w:lang w:val="sl-SI"/>
        </w:rPr>
        <w:t xml:space="preserve">Tabela 1 je izračun administrativnih stroškov, ki so nastali pred realizacijo ukrepa. </w:t>
      </w:r>
    </w:p>
    <w:p w14:paraId="3E08A12B" w14:textId="0F86F41E" w:rsidR="001765E8" w:rsidRPr="00F47631" w:rsidRDefault="001765E8" w:rsidP="00E91855">
      <w:pPr>
        <w:spacing w:before="0" w:after="0"/>
        <w:jc w:val="both"/>
        <w:rPr>
          <w:highlight w:val="green"/>
          <w:lang w:val="sl-SI"/>
        </w:rPr>
      </w:pPr>
      <w:r w:rsidRPr="00F47631">
        <w:rPr>
          <w:highlight w:val="green"/>
          <w:lang w:val="sl-SI"/>
        </w:rPr>
        <w:t>Definirane so obveznosti in podrobneje razdeljene na aktivnosti, ki jih je bilo potrebno izvesti pred realizacijo ukrepa. Prav tako so definirani deležniki, ki morajo izvesti obveznosti oz. aktivnosti v okviru obveznosti. Določena je populacij, ki mora aktivnost izvesti, frekvenca (kolikokrat na leto je to potrebno izvesti), urna postavka, ki je izračunana po EMMS (Enotna metodologija merjenja stroškov, ki jih zakonodaja povzroča subjektom), potreben čas za izvedbo aktivnosti in morebitni drugi stroški (plačilo takse, strošek papirja,…). Izračunani administrativni stroški pred realizacijo ukrepa so na letni ravni znašali 1.537.657</w:t>
      </w:r>
      <w:r w:rsidR="005101E3">
        <w:rPr>
          <w:highlight w:val="green"/>
          <w:lang w:val="sl-SI"/>
        </w:rPr>
        <w:t>,41</w:t>
      </w:r>
      <w:r w:rsidRPr="00F47631">
        <w:rPr>
          <w:highlight w:val="green"/>
          <w:lang w:val="sl-SI"/>
        </w:rPr>
        <w:t xml:space="preserve"> EUR</w:t>
      </w:r>
    </w:p>
    <w:p w14:paraId="3FF68543" w14:textId="77777777" w:rsidR="00E91855" w:rsidRDefault="00E91855" w:rsidP="001765E8">
      <w:pPr>
        <w:spacing w:before="0" w:after="0"/>
        <w:jc w:val="both"/>
        <w:rPr>
          <w:highlight w:val="green"/>
          <w:lang w:val="sl-SI"/>
        </w:rPr>
      </w:pPr>
    </w:p>
    <w:p w14:paraId="6C1BC576" w14:textId="6FF5B390" w:rsidR="001765E8" w:rsidRPr="00F47631" w:rsidRDefault="00E91855" w:rsidP="001765E8">
      <w:pPr>
        <w:spacing w:before="0" w:after="0"/>
        <w:jc w:val="both"/>
        <w:rPr>
          <w:highlight w:val="green"/>
          <w:lang w:val="sl-SI"/>
        </w:rPr>
      </w:pPr>
      <w:r>
        <w:rPr>
          <w:highlight w:val="green"/>
          <w:lang w:val="sl-SI"/>
        </w:rPr>
        <w:t xml:space="preserve">Drugo stanje: </w:t>
      </w:r>
      <w:r w:rsidR="001765E8" w:rsidRPr="00F47631">
        <w:rPr>
          <w:highlight w:val="green"/>
          <w:lang w:val="sl-SI"/>
        </w:rPr>
        <w:t>Tabela 2 je izračun administrativnih stroškov, ki so nastali po realizaciji ukrepa. Realizacija ukrepa je prinesla:</w:t>
      </w:r>
    </w:p>
    <w:p w14:paraId="00732DB7" w14:textId="77777777" w:rsidR="001765E8" w:rsidRPr="00F47631" w:rsidRDefault="001765E8" w:rsidP="001765E8">
      <w:pPr>
        <w:numPr>
          <w:ilvl w:val="0"/>
          <w:numId w:val="7"/>
        </w:numPr>
        <w:spacing w:before="0" w:after="0" w:line="259" w:lineRule="auto"/>
        <w:rPr>
          <w:highlight w:val="green"/>
          <w:lang w:val="sl-SI"/>
        </w:rPr>
      </w:pPr>
      <w:r w:rsidRPr="00F47631">
        <w:rPr>
          <w:highlight w:val="green"/>
          <w:lang w:val="sl-SI"/>
        </w:rPr>
        <w:t>zmanjšanje števila aktivnosti (manj primerov, manj vprašanj, manj postopkov),</w:t>
      </w:r>
    </w:p>
    <w:p w14:paraId="5DAD840B" w14:textId="77777777" w:rsidR="001765E8" w:rsidRPr="00F47631" w:rsidRDefault="001765E8" w:rsidP="001765E8">
      <w:pPr>
        <w:numPr>
          <w:ilvl w:val="0"/>
          <w:numId w:val="7"/>
        </w:numPr>
        <w:spacing w:before="0" w:after="0" w:line="259" w:lineRule="auto"/>
        <w:rPr>
          <w:highlight w:val="green"/>
          <w:lang w:val="sl-SI"/>
        </w:rPr>
      </w:pPr>
      <w:r w:rsidRPr="00F47631">
        <w:rPr>
          <w:highlight w:val="green"/>
          <w:lang w:val="sl-SI"/>
        </w:rPr>
        <w:t>krajši časa za posamezne aktivnosti,</w:t>
      </w:r>
    </w:p>
    <w:p w14:paraId="64AF8D89" w14:textId="77777777" w:rsidR="001765E8" w:rsidRPr="00F47631" w:rsidRDefault="001765E8" w:rsidP="001765E8">
      <w:pPr>
        <w:numPr>
          <w:ilvl w:val="0"/>
          <w:numId w:val="7"/>
        </w:numPr>
        <w:spacing w:before="0" w:after="0" w:line="259" w:lineRule="auto"/>
        <w:rPr>
          <w:highlight w:val="green"/>
          <w:lang w:val="sl-SI"/>
        </w:rPr>
      </w:pPr>
      <w:r w:rsidRPr="00F47631">
        <w:rPr>
          <w:highlight w:val="green"/>
          <w:lang w:val="sl-SI"/>
        </w:rPr>
        <w:t>manj zahtevnih postopkov in nadzorov,</w:t>
      </w:r>
    </w:p>
    <w:p w14:paraId="3DD5A985" w14:textId="77777777" w:rsidR="001765E8" w:rsidRPr="00F47631" w:rsidRDefault="001765E8" w:rsidP="001765E8">
      <w:pPr>
        <w:numPr>
          <w:ilvl w:val="0"/>
          <w:numId w:val="7"/>
        </w:numPr>
        <w:spacing w:before="0" w:after="0" w:line="259" w:lineRule="auto"/>
        <w:rPr>
          <w:highlight w:val="green"/>
          <w:lang w:val="sl-SI"/>
        </w:rPr>
      </w:pPr>
      <w:r w:rsidRPr="00F47631">
        <w:rPr>
          <w:highlight w:val="green"/>
          <w:lang w:val="sl-SI"/>
        </w:rPr>
        <w:t>delno zmanjšanja dodatnih izdatkov (npr. stroški odprave nepravilnosti).</w:t>
      </w:r>
    </w:p>
    <w:p w14:paraId="48D52A9C" w14:textId="1F118F24" w:rsidR="001765E8" w:rsidRPr="00F47631" w:rsidRDefault="001765E8" w:rsidP="001765E8">
      <w:pPr>
        <w:spacing w:before="0" w:after="0"/>
        <w:jc w:val="both"/>
        <w:rPr>
          <w:b/>
          <w:bCs/>
          <w:highlight w:val="green"/>
          <w:lang w:val="sl-SI"/>
        </w:rPr>
      </w:pPr>
      <w:r w:rsidRPr="00F47631">
        <w:rPr>
          <w:highlight w:val="green"/>
          <w:lang w:val="sl-SI"/>
        </w:rPr>
        <w:lastRenderedPageBreak/>
        <w:t>Izračunani administrativni stroški po realizaciji ukrepa so na letni ravni znašali 734.</w:t>
      </w:r>
      <w:r w:rsidR="005101E3">
        <w:rPr>
          <w:highlight w:val="green"/>
          <w:lang w:val="sl-SI"/>
        </w:rPr>
        <w:t>299,73</w:t>
      </w:r>
      <w:r w:rsidRPr="00F47631">
        <w:rPr>
          <w:highlight w:val="green"/>
          <w:lang w:val="sl-SI"/>
        </w:rPr>
        <w:t xml:space="preserve"> EUR.</w:t>
      </w:r>
    </w:p>
    <w:p w14:paraId="34D06D9A" w14:textId="2E7E1070" w:rsidR="001765E8" w:rsidRDefault="005101E3" w:rsidP="001765E8">
      <w:pPr>
        <w:jc w:val="both"/>
        <w:rPr>
          <w:lang w:val="sl-SI"/>
        </w:rPr>
      </w:pPr>
      <w:r>
        <w:rPr>
          <w:highlight w:val="green"/>
          <w:lang w:val="sl-SI"/>
        </w:rPr>
        <w:t>P</w:t>
      </w:r>
      <w:r w:rsidR="001765E8" w:rsidRPr="00F47631">
        <w:rPr>
          <w:highlight w:val="green"/>
          <w:lang w:val="sl-SI"/>
        </w:rPr>
        <w:t>rihranek</w:t>
      </w:r>
      <w:r>
        <w:rPr>
          <w:highlight w:val="green"/>
          <w:lang w:val="sl-SI"/>
        </w:rPr>
        <w:t xml:space="preserve"> po realizaciji ukrepa</w:t>
      </w:r>
      <w:r w:rsidR="001765E8" w:rsidRPr="00F47631">
        <w:rPr>
          <w:highlight w:val="green"/>
          <w:lang w:val="sl-SI"/>
        </w:rPr>
        <w:t xml:space="preserve"> je 803.35</w:t>
      </w:r>
      <w:r>
        <w:rPr>
          <w:highlight w:val="green"/>
          <w:lang w:val="sl-SI"/>
        </w:rPr>
        <w:t>7,68</w:t>
      </w:r>
      <w:r w:rsidR="001765E8" w:rsidRPr="00F47631">
        <w:rPr>
          <w:highlight w:val="green"/>
          <w:lang w:val="sl-SI"/>
        </w:rPr>
        <w:t xml:space="preserve"> EUR, kar predstavlja več kot 50 % zmanjšanje stroškov.</w:t>
      </w:r>
    </w:p>
    <w:p w14:paraId="7ADFA5E2" w14:textId="77777777" w:rsidR="001765E8" w:rsidRPr="00697D3B" w:rsidRDefault="001765E8" w:rsidP="001765E8">
      <w:pPr>
        <w:pStyle w:val="Oznaenseznam"/>
        <w:numPr>
          <w:ilvl w:val="0"/>
          <w:numId w:val="0"/>
        </w:numPr>
        <w:tabs>
          <w:tab w:val="num" w:pos="360"/>
        </w:tabs>
        <w:rPr>
          <w:lang w:val="sl-SI"/>
        </w:rPr>
      </w:pPr>
    </w:p>
    <w:sectPr w:rsidR="001765E8" w:rsidRPr="00697D3B" w:rsidSect="00AD3F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ED55E" w14:textId="77777777" w:rsidR="007D4E15" w:rsidRDefault="007D4E15" w:rsidP="00AD3F42">
      <w:pPr>
        <w:spacing w:before="0" w:after="0" w:line="240" w:lineRule="auto"/>
      </w:pPr>
      <w:r>
        <w:separator/>
      </w:r>
    </w:p>
  </w:endnote>
  <w:endnote w:type="continuationSeparator" w:id="0">
    <w:p w14:paraId="1E5AFC83" w14:textId="77777777" w:rsidR="007D4E15" w:rsidRDefault="007D4E15" w:rsidP="00AD3F4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48B9E" w14:textId="77777777" w:rsidR="007D4E15" w:rsidRDefault="007D4E15" w:rsidP="00AD3F42">
      <w:pPr>
        <w:spacing w:before="0" w:after="0" w:line="240" w:lineRule="auto"/>
      </w:pPr>
      <w:r>
        <w:separator/>
      </w:r>
    </w:p>
  </w:footnote>
  <w:footnote w:type="continuationSeparator" w:id="0">
    <w:p w14:paraId="519140CD" w14:textId="77777777" w:rsidR="007D4E15" w:rsidRDefault="007D4E15" w:rsidP="00AD3F4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B505B" w14:textId="77777777" w:rsidR="00AD3F42" w:rsidRDefault="00AD3F42" w:rsidP="00147A60">
    <w:pPr>
      <w:pStyle w:val="Glava"/>
      <w:rPr>
        <w:rFonts w:cstheme="minorHAnsi"/>
        <w:sz w:val="16"/>
        <w:szCs w:val="16"/>
      </w:rPr>
    </w:pPr>
  </w:p>
  <w:p w14:paraId="67A6863A" w14:textId="77777777" w:rsidR="00AD3F42" w:rsidRDefault="00AD3F42" w:rsidP="00147A60">
    <w:pPr>
      <w:pStyle w:val="Glav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30654D8"/>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16661B3"/>
    <w:multiLevelType w:val="hybridMultilevel"/>
    <w:tmpl w:val="CCAEE1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7E91926"/>
    <w:multiLevelType w:val="multilevel"/>
    <w:tmpl w:val="E14A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1F2C2E"/>
    <w:multiLevelType w:val="multilevel"/>
    <w:tmpl w:val="277E6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B05C4D"/>
    <w:multiLevelType w:val="multilevel"/>
    <w:tmpl w:val="92C65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3F7204"/>
    <w:multiLevelType w:val="multilevel"/>
    <w:tmpl w:val="C330B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3924FC"/>
    <w:multiLevelType w:val="multilevel"/>
    <w:tmpl w:val="2F2C03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39615C8"/>
    <w:multiLevelType w:val="multilevel"/>
    <w:tmpl w:val="8AA4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AF73E4"/>
    <w:multiLevelType w:val="multilevel"/>
    <w:tmpl w:val="7ABC2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B54BB3"/>
    <w:multiLevelType w:val="multilevel"/>
    <w:tmpl w:val="B7721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D20782"/>
    <w:multiLevelType w:val="multilevel"/>
    <w:tmpl w:val="619C1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833069"/>
    <w:multiLevelType w:val="hybridMultilevel"/>
    <w:tmpl w:val="A53EEAFA"/>
    <w:lvl w:ilvl="0" w:tplc="2B245DD8">
      <w:numFmt w:val="bullet"/>
      <w:lvlText w:val="-"/>
      <w:lvlJc w:val="left"/>
      <w:pPr>
        <w:ind w:left="720" w:hanging="360"/>
      </w:pPr>
      <w:rPr>
        <w:rFonts w:ascii="Aptos" w:eastAsiaTheme="minorHAnsi" w:hAnsi="Aptos" w:cs="Aptos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9845BDD"/>
    <w:multiLevelType w:val="multilevel"/>
    <w:tmpl w:val="EBDE5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016C6A"/>
    <w:multiLevelType w:val="multilevel"/>
    <w:tmpl w:val="EB6AC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0B5414"/>
    <w:multiLevelType w:val="multilevel"/>
    <w:tmpl w:val="98DA5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2E2114"/>
    <w:multiLevelType w:val="multilevel"/>
    <w:tmpl w:val="85D0D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5D0A2B"/>
    <w:multiLevelType w:val="multilevel"/>
    <w:tmpl w:val="8FA04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B8472E"/>
    <w:multiLevelType w:val="hybridMultilevel"/>
    <w:tmpl w:val="06B0EB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7045E45"/>
    <w:multiLevelType w:val="multilevel"/>
    <w:tmpl w:val="88C8E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723E12"/>
    <w:multiLevelType w:val="multilevel"/>
    <w:tmpl w:val="054A5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14030B"/>
    <w:multiLevelType w:val="multilevel"/>
    <w:tmpl w:val="C130F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13124B"/>
    <w:multiLevelType w:val="multilevel"/>
    <w:tmpl w:val="0C74F9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4B6C80"/>
    <w:multiLevelType w:val="multilevel"/>
    <w:tmpl w:val="75328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27796A"/>
    <w:multiLevelType w:val="multilevel"/>
    <w:tmpl w:val="5A222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A53EBE"/>
    <w:multiLevelType w:val="multilevel"/>
    <w:tmpl w:val="8E225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5274B4"/>
    <w:multiLevelType w:val="multilevel"/>
    <w:tmpl w:val="E9144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7E4A94"/>
    <w:multiLevelType w:val="multilevel"/>
    <w:tmpl w:val="B240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0B0D4F"/>
    <w:multiLevelType w:val="multilevel"/>
    <w:tmpl w:val="746A8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275E09"/>
    <w:multiLevelType w:val="multilevel"/>
    <w:tmpl w:val="6EEE1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D41CF4"/>
    <w:multiLevelType w:val="multilevel"/>
    <w:tmpl w:val="F67E0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0D4016"/>
    <w:multiLevelType w:val="multilevel"/>
    <w:tmpl w:val="912E1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29427F"/>
    <w:multiLevelType w:val="multilevel"/>
    <w:tmpl w:val="979EF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EA3A53"/>
    <w:multiLevelType w:val="multilevel"/>
    <w:tmpl w:val="609E1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6B3B11"/>
    <w:multiLevelType w:val="multilevel"/>
    <w:tmpl w:val="5C14C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8C351E"/>
    <w:multiLevelType w:val="multilevel"/>
    <w:tmpl w:val="21D0B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FD4B56"/>
    <w:multiLevelType w:val="multilevel"/>
    <w:tmpl w:val="C680D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2C54BD"/>
    <w:multiLevelType w:val="multilevel"/>
    <w:tmpl w:val="26AC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C17E63"/>
    <w:multiLevelType w:val="multilevel"/>
    <w:tmpl w:val="D46A8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EA23F9"/>
    <w:multiLevelType w:val="multilevel"/>
    <w:tmpl w:val="73D40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BC6E98"/>
    <w:multiLevelType w:val="multilevel"/>
    <w:tmpl w:val="F7123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6D656F"/>
    <w:multiLevelType w:val="multilevel"/>
    <w:tmpl w:val="255C9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465A84"/>
    <w:multiLevelType w:val="hybridMultilevel"/>
    <w:tmpl w:val="7924D4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75401521">
    <w:abstractNumId w:val="8"/>
  </w:num>
  <w:num w:numId="2" w16cid:durableId="533077018">
    <w:abstractNumId w:val="35"/>
  </w:num>
  <w:num w:numId="3" w16cid:durableId="616258738">
    <w:abstractNumId w:val="19"/>
  </w:num>
  <w:num w:numId="4" w16cid:durableId="493955492">
    <w:abstractNumId w:val="36"/>
  </w:num>
  <w:num w:numId="5" w16cid:durableId="1028604632">
    <w:abstractNumId w:val="11"/>
  </w:num>
  <w:num w:numId="6" w16cid:durableId="637421463">
    <w:abstractNumId w:val="0"/>
  </w:num>
  <w:num w:numId="7" w16cid:durableId="2076968894">
    <w:abstractNumId w:val="6"/>
  </w:num>
  <w:num w:numId="8" w16cid:durableId="465046399">
    <w:abstractNumId w:val="20"/>
  </w:num>
  <w:num w:numId="9" w16cid:durableId="729959883">
    <w:abstractNumId w:val="22"/>
  </w:num>
  <w:num w:numId="10" w16cid:durableId="611089271">
    <w:abstractNumId w:val="9"/>
  </w:num>
  <w:num w:numId="11" w16cid:durableId="1406873802">
    <w:abstractNumId w:val="1"/>
  </w:num>
  <w:num w:numId="12" w16cid:durableId="764810922">
    <w:abstractNumId w:val="17"/>
  </w:num>
  <w:num w:numId="13" w16cid:durableId="537158707">
    <w:abstractNumId w:val="37"/>
  </w:num>
  <w:num w:numId="14" w16cid:durableId="1430931520">
    <w:abstractNumId w:val="18"/>
  </w:num>
  <w:num w:numId="15" w16cid:durableId="1300309287">
    <w:abstractNumId w:val="5"/>
  </w:num>
  <w:num w:numId="16" w16cid:durableId="676152837">
    <w:abstractNumId w:val="7"/>
  </w:num>
  <w:num w:numId="17" w16cid:durableId="1238784579">
    <w:abstractNumId w:val="26"/>
  </w:num>
  <w:num w:numId="18" w16cid:durableId="2047219001">
    <w:abstractNumId w:val="38"/>
  </w:num>
  <w:num w:numId="19" w16cid:durableId="567765301">
    <w:abstractNumId w:val="33"/>
  </w:num>
  <w:num w:numId="20" w16cid:durableId="1181622974">
    <w:abstractNumId w:val="14"/>
  </w:num>
  <w:num w:numId="21" w16cid:durableId="1217014454">
    <w:abstractNumId w:val="10"/>
  </w:num>
  <w:num w:numId="22" w16cid:durableId="1028457220">
    <w:abstractNumId w:val="27"/>
  </w:num>
  <w:num w:numId="23" w16cid:durableId="870605537">
    <w:abstractNumId w:val="25"/>
  </w:num>
  <w:num w:numId="24" w16cid:durableId="1357846378">
    <w:abstractNumId w:val="41"/>
  </w:num>
  <w:num w:numId="25" w16cid:durableId="1495876521">
    <w:abstractNumId w:val="31"/>
  </w:num>
  <w:num w:numId="26" w16cid:durableId="1075904876">
    <w:abstractNumId w:val="32"/>
  </w:num>
  <w:num w:numId="27" w16cid:durableId="2054886620">
    <w:abstractNumId w:val="16"/>
  </w:num>
  <w:num w:numId="28" w16cid:durableId="2146847273">
    <w:abstractNumId w:val="29"/>
  </w:num>
  <w:num w:numId="29" w16cid:durableId="1569874629">
    <w:abstractNumId w:val="40"/>
  </w:num>
  <w:num w:numId="30" w16cid:durableId="672026473">
    <w:abstractNumId w:val="34"/>
  </w:num>
  <w:num w:numId="31" w16cid:durableId="119300847">
    <w:abstractNumId w:val="12"/>
  </w:num>
  <w:num w:numId="32" w16cid:durableId="1924021692">
    <w:abstractNumId w:val="21"/>
  </w:num>
  <w:num w:numId="33" w16cid:durableId="1575815038">
    <w:abstractNumId w:val="30"/>
  </w:num>
  <w:num w:numId="34" w16cid:durableId="1270627228">
    <w:abstractNumId w:val="15"/>
  </w:num>
  <w:num w:numId="35" w16cid:durableId="884298010">
    <w:abstractNumId w:val="4"/>
  </w:num>
  <w:num w:numId="36" w16cid:durableId="2130321261">
    <w:abstractNumId w:val="2"/>
  </w:num>
  <w:num w:numId="37" w16cid:durableId="298613849">
    <w:abstractNumId w:val="23"/>
  </w:num>
  <w:num w:numId="38" w16cid:durableId="1021980479">
    <w:abstractNumId w:val="13"/>
  </w:num>
  <w:num w:numId="39" w16cid:durableId="299309987">
    <w:abstractNumId w:val="24"/>
  </w:num>
  <w:num w:numId="40" w16cid:durableId="1797210216">
    <w:abstractNumId w:val="39"/>
  </w:num>
  <w:num w:numId="41" w16cid:durableId="420688494">
    <w:abstractNumId w:val="3"/>
  </w:num>
  <w:num w:numId="42" w16cid:durableId="52776246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1CE"/>
    <w:rsid w:val="00026B16"/>
    <w:rsid w:val="00034661"/>
    <w:rsid w:val="00084D8C"/>
    <w:rsid w:val="00085A2C"/>
    <w:rsid w:val="00105A25"/>
    <w:rsid w:val="001431B8"/>
    <w:rsid w:val="001444CC"/>
    <w:rsid w:val="001765E8"/>
    <w:rsid w:val="00195F59"/>
    <w:rsid w:val="001A7F71"/>
    <w:rsid w:val="001D01D0"/>
    <w:rsid w:val="001D577A"/>
    <w:rsid w:val="002157C2"/>
    <w:rsid w:val="002327C4"/>
    <w:rsid w:val="00240CEA"/>
    <w:rsid w:val="0026070B"/>
    <w:rsid w:val="00287D7F"/>
    <w:rsid w:val="002B09E6"/>
    <w:rsid w:val="002C3175"/>
    <w:rsid w:val="0031593A"/>
    <w:rsid w:val="003923B0"/>
    <w:rsid w:val="0039537C"/>
    <w:rsid w:val="003C4CC5"/>
    <w:rsid w:val="003C673A"/>
    <w:rsid w:val="003E3991"/>
    <w:rsid w:val="0040309F"/>
    <w:rsid w:val="0044669A"/>
    <w:rsid w:val="00455BAB"/>
    <w:rsid w:val="004F3A2D"/>
    <w:rsid w:val="005101E3"/>
    <w:rsid w:val="005460EC"/>
    <w:rsid w:val="00551916"/>
    <w:rsid w:val="005908C2"/>
    <w:rsid w:val="00605A65"/>
    <w:rsid w:val="006301BD"/>
    <w:rsid w:val="0063162F"/>
    <w:rsid w:val="00633534"/>
    <w:rsid w:val="00641428"/>
    <w:rsid w:val="00656187"/>
    <w:rsid w:val="00656FD1"/>
    <w:rsid w:val="006836EE"/>
    <w:rsid w:val="00697D3B"/>
    <w:rsid w:val="006A0FE7"/>
    <w:rsid w:val="006B6787"/>
    <w:rsid w:val="006E4FE8"/>
    <w:rsid w:val="007D17A4"/>
    <w:rsid w:val="007D1F42"/>
    <w:rsid w:val="007D4E15"/>
    <w:rsid w:val="007D7F3F"/>
    <w:rsid w:val="0083597D"/>
    <w:rsid w:val="00855687"/>
    <w:rsid w:val="0089763A"/>
    <w:rsid w:val="008D6235"/>
    <w:rsid w:val="009101CE"/>
    <w:rsid w:val="00915D00"/>
    <w:rsid w:val="00991150"/>
    <w:rsid w:val="009A4EE8"/>
    <w:rsid w:val="009B3E03"/>
    <w:rsid w:val="00A61652"/>
    <w:rsid w:val="00AC54D8"/>
    <w:rsid w:val="00AD10CE"/>
    <w:rsid w:val="00AD3F42"/>
    <w:rsid w:val="00B00B0B"/>
    <w:rsid w:val="00B04CB0"/>
    <w:rsid w:val="00B2735E"/>
    <w:rsid w:val="00B66DA1"/>
    <w:rsid w:val="00BC65AF"/>
    <w:rsid w:val="00BE62D0"/>
    <w:rsid w:val="00BF5872"/>
    <w:rsid w:val="00C40D71"/>
    <w:rsid w:val="00C71A58"/>
    <w:rsid w:val="00C7516A"/>
    <w:rsid w:val="00D1706A"/>
    <w:rsid w:val="00D259A9"/>
    <w:rsid w:val="00D2690C"/>
    <w:rsid w:val="00D33171"/>
    <w:rsid w:val="00D3744E"/>
    <w:rsid w:val="00D85BDB"/>
    <w:rsid w:val="00DA1468"/>
    <w:rsid w:val="00DB2DA0"/>
    <w:rsid w:val="00DD7BF4"/>
    <w:rsid w:val="00DE3414"/>
    <w:rsid w:val="00E029A0"/>
    <w:rsid w:val="00E13044"/>
    <w:rsid w:val="00E13ADD"/>
    <w:rsid w:val="00E34F12"/>
    <w:rsid w:val="00E47FE0"/>
    <w:rsid w:val="00E74C35"/>
    <w:rsid w:val="00E91855"/>
    <w:rsid w:val="00F24617"/>
    <w:rsid w:val="00F47631"/>
    <w:rsid w:val="00F80C01"/>
    <w:rsid w:val="00FB24AF"/>
    <w:rsid w:val="00FB52D4"/>
    <w:rsid w:val="00FC185D"/>
    <w:rsid w:val="00FE64CD"/>
    <w:rsid w:val="00FF0F98"/>
    <w:rsid w:val="00FF53F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1F241"/>
  <w15:chartTrackingRefBased/>
  <w15:docId w15:val="{05488390-5F31-470D-8E13-E93A83A22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923B0"/>
    <w:pPr>
      <w:spacing w:before="160" w:line="276" w:lineRule="auto"/>
    </w:pPr>
    <w:rPr>
      <w:kern w:val="0"/>
      <w:sz w:val="20"/>
      <w:szCs w:val="20"/>
      <w:lang w:val="en-US"/>
      <w14:ligatures w14:val="none"/>
    </w:rPr>
  </w:style>
  <w:style w:type="paragraph" w:styleId="Naslov1">
    <w:name w:val="heading 1"/>
    <w:basedOn w:val="Navaden"/>
    <w:next w:val="Navaden"/>
    <w:link w:val="Naslov1Znak"/>
    <w:uiPriority w:val="9"/>
    <w:qFormat/>
    <w:rsid w:val="009101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9101CE"/>
    <w:pPr>
      <w:keepNext/>
      <w:keepLines/>
      <w:spacing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unhideWhenUsed/>
    <w:qFormat/>
    <w:rsid w:val="009101CE"/>
    <w:pPr>
      <w:keepNext/>
      <w:keepLines/>
      <w:spacing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9101CE"/>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9101CE"/>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9101CE"/>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9101CE"/>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9101CE"/>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9101CE"/>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101CE"/>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9101CE"/>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rsid w:val="009101CE"/>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9101CE"/>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9101CE"/>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9101CE"/>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9101CE"/>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9101CE"/>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9101CE"/>
    <w:rPr>
      <w:rFonts w:eastAsiaTheme="majorEastAsia" w:cstheme="majorBidi"/>
      <w:color w:val="272727" w:themeColor="text1" w:themeTint="D8"/>
    </w:rPr>
  </w:style>
  <w:style w:type="paragraph" w:styleId="Naslov">
    <w:name w:val="Title"/>
    <w:basedOn w:val="Navaden"/>
    <w:next w:val="Navaden"/>
    <w:link w:val="NaslovZnak"/>
    <w:uiPriority w:val="10"/>
    <w:qFormat/>
    <w:rsid w:val="009101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9101CE"/>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9101CE"/>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9101CE"/>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9101CE"/>
    <w:pPr>
      <w:jc w:val="center"/>
    </w:pPr>
    <w:rPr>
      <w:i/>
      <w:iCs/>
      <w:color w:val="404040" w:themeColor="text1" w:themeTint="BF"/>
    </w:rPr>
  </w:style>
  <w:style w:type="character" w:customStyle="1" w:styleId="CitatZnak">
    <w:name w:val="Citat Znak"/>
    <w:basedOn w:val="Privzetapisavaodstavka"/>
    <w:link w:val="Citat"/>
    <w:uiPriority w:val="29"/>
    <w:rsid w:val="009101CE"/>
    <w:rPr>
      <w:i/>
      <w:iCs/>
      <w:color w:val="404040" w:themeColor="text1" w:themeTint="BF"/>
    </w:rPr>
  </w:style>
  <w:style w:type="paragraph" w:styleId="Odstavekseznama">
    <w:name w:val="List Paragraph"/>
    <w:aliases w:val="numbered list,3,Bullet 1,Bullet Points,Colorful List - Accent 11,Dot pt,F5 List Paragraph,Indicator Text,Issue Action POC,List Paragraph Char Char Char,List Paragraph2,MAIN CONTENT,Normal numbered,Numbered Para 1,POCG Table Text,Bulle"/>
    <w:basedOn w:val="Navaden"/>
    <w:link w:val="OdstavekseznamaZnak"/>
    <w:uiPriority w:val="34"/>
    <w:qFormat/>
    <w:rsid w:val="009101CE"/>
    <w:pPr>
      <w:ind w:left="720"/>
      <w:contextualSpacing/>
    </w:pPr>
  </w:style>
  <w:style w:type="character" w:styleId="Intenzivenpoudarek">
    <w:name w:val="Intense Emphasis"/>
    <w:basedOn w:val="Privzetapisavaodstavka"/>
    <w:uiPriority w:val="21"/>
    <w:qFormat/>
    <w:rsid w:val="009101CE"/>
    <w:rPr>
      <w:i/>
      <w:iCs/>
      <w:color w:val="0F4761" w:themeColor="accent1" w:themeShade="BF"/>
    </w:rPr>
  </w:style>
  <w:style w:type="paragraph" w:styleId="Intenzivencitat">
    <w:name w:val="Intense Quote"/>
    <w:basedOn w:val="Navaden"/>
    <w:next w:val="Navaden"/>
    <w:link w:val="IntenzivencitatZnak"/>
    <w:uiPriority w:val="30"/>
    <w:qFormat/>
    <w:rsid w:val="009101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9101CE"/>
    <w:rPr>
      <w:i/>
      <w:iCs/>
      <w:color w:val="0F4761" w:themeColor="accent1" w:themeShade="BF"/>
    </w:rPr>
  </w:style>
  <w:style w:type="character" w:styleId="Intenzivensklic">
    <w:name w:val="Intense Reference"/>
    <w:basedOn w:val="Privzetapisavaodstavka"/>
    <w:uiPriority w:val="32"/>
    <w:qFormat/>
    <w:rsid w:val="009101CE"/>
    <w:rPr>
      <w:b/>
      <w:bCs/>
      <w:smallCaps/>
      <w:color w:val="0F4761" w:themeColor="accent1" w:themeShade="BF"/>
      <w:spacing w:val="5"/>
    </w:rPr>
  </w:style>
  <w:style w:type="paragraph" w:styleId="Revizija">
    <w:name w:val="Revision"/>
    <w:hidden/>
    <w:uiPriority w:val="99"/>
    <w:semiHidden/>
    <w:rsid w:val="00B2735E"/>
    <w:pPr>
      <w:spacing w:after="0" w:line="240" w:lineRule="auto"/>
    </w:pPr>
    <w:rPr>
      <w:kern w:val="0"/>
      <w:sz w:val="20"/>
      <w:szCs w:val="20"/>
      <w:lang w:val="en-US"/>
      <w14:ligatures w14:val="none"/>
    </w:rPr>
  </w:style>
  <w:style w:type="paragraph" w:styleId="Glava">
    <w:name w:val="header"/>
    <w:basedOn w:val="Navaden"/>
    <w:link w:val="GlavaZnak"/>
    <w:uiPriority w:val="99"/>
    <w:unhideWhenUsed/>
    <w:rsid w:val="00AD3F42"/>
    <w:pPr>
      <w:tabs>
        <w:tab w:val="center" w:pos="4536"/>
        <w:tab w:val="right" w:pos="9072"/>
      </w:tabs>
      <w:spacing w:before="0" w:after="0" w:line="240" w:lineRule="auto"/>
    </w:pPr>
  </w:style>
  <w:style w:type="character" w:customStyle="1" w:styleId="GlavaZnak">
    <w:name w:val="Glava Znak"/>
    <w:basedOn w:val="Privzetapisavaodstavka"/>
    <w:link w:val="Glava"/>
    <w:uiPriority w:val="99"/>
    <w:rsid w:val="00AD3F42"/>
    <w:rPr>
      <w:kern w:val="0"/>
      <w:sz w:val="20"/>
      <w:szCs w:val="20"/>
      <w:lang w:val="en-US"/>
      <w14:ligatures w14:val="none"/>
    </w:rPr>
  </w:style>
  <w:style w:type="paragraph" w:styleId="Noga">
    <w:name w:val="footer"/>
    <w:basedOn w:val="Navaden"/>
    <w:link w:val="NogaZnak"/>
    <w:uiPriority w:val="99"/>
    <w:unhideWhenUsed/>
    <w:rsid w:val="00AD3F42"/>
    <w:pPr>
      <w:tabs>
        <w:tab w:val="center" w:pos="4536"/>
        <w:tab w:val="right" w:pos="9072"/>
      </w:tabs>
      <w:spacing w:before="0" w:after="0" w:line="240" w:lineRule="auto"/>
    </w:pPr>
  </w:style>
  <w:style w:type="character" w:customStyle="1" w:styleId="NogaZnak">
    <w:name w:val="Noga Znak"/>
    <w:basedOn w:val="Privzetapisavaodstavka"/>
    <w:link w:val="Noga"/>
    <w:uiPriority w:val="99"/>
    <w:rsid w:val="00AD3F42"/>
    <w:rPr>
      <w:kern w:val="0"/>
      <w:sz w:val="20"/>
      <w:szCs w:val="20"/>
      <w:lang w:val="en-US"/>
      <w14:ligatures w14:val="none"/>
    </w:rPr>
  </w:style>
  <w:style w:type="paragraph" w:styleId="Oznaenseznam">
    <w:name w:val="List Bullet"/>
    <w:basedOn w:val="Navaden"/>
    <w:uiPriority w:val="99"/>
    <w:unhideWhenUsed/>
    <w:rsid w:val="007D17A4"/>
    <w:pPr>
      <w:numPr>
        <w:numId w:val="6"/>
      </w:numPr>
      <w:tabs>
        <w:tab w:val="clear" w:pos="360"/>
      </w:tabs>
      <w:spacing w:before="0" w:after="200"/>
      <w:ind w:left="0" w:firstLine="0"/>
      <w:contextualSpacing/>
    </w:pPr>
    <w:rPr>
      <w:rFonts w:eastAsiaTheme="minorEastAsia"/>
      <w:sz w:val="22"/>
      <w:szCs w:val="22"/>
    </w:rPr>
  </w:style>
  <w:style w:type="table" w:styleId="Tabelamrea">
    <w:name w:val="Table Grid"/>
    <w:basedOn w:val="Navadnatabela"/>
    <w:uiPriority w:val="39"/>
    <w:rsid w:val="00D259A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aliases w:val="numbered list Znak,3 Znak,Bullet 1 Znak,Bullet Points Znak,Colorful List - Accent 11 Znak,Dot pt Znak,F5 List Paragraph Znak,Indicator Text Znak,Issue Action POC Znak,List Paragraph Char Char Char Znak,List Paragraph2 Znak"/>
    <w:basedOn w:val="Privzetapisavaodstavka"/>
    <w:link w:val="Odstavekseznama"/>
    <w:uiPriority w:val="34"/>
    <w:qFormat/>
    <w:locked/>
    <w:rsid w:val="007D7F3F"/>
    <w:rPr>
      <w:kern w:val="0"/>
      <w:sz w:val="20"/>
      <w:szCs w:val="20"/>
      <w:lang w:val="en-US"/>
      <w14:ligatures w14:val="none"/>
    </w:rPr>
  </w:style>
  <w:style w:type="character" w:styleId="Hiperpovezava">
    <w:name w:val="Hyperlink"/>
    <w:basedOn w:val="Privzetapisavaodstavka"/>
    <w:uiPriority w:val="99"/>
    <w:unhideWhenUsed/>
    <w:rsid w:val="00B66DA1"/>
    <w:rPr>
      <w:color w:val="467886" w:themeColor="hyperlink"/>
      <w:u w:val="single"/>
    </w:rPr>
  </w:style>
  <w:style w:type="character" w:styleId="Poudarek">
    <w:name w:val="Emphasis"/>
    <w:uiPriority w:val="20"/>
    <w:qFormat/>
    <w:rsid w:val="00BC65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651</Words>
  <Characters>3717</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Peharc</dc:creator>
  <cp:keywords/>
  <dc:description/>
  <cp:lastModifiedBy>Barbara Peharc</cp:lastModifiedBy>
  <cp:revision>6</cp:revision>
  <cp:lastPrinted>2026-05-05T06:22:00Z</cp:lastPrinted>
  <dcterms:created xsi:type="dcterms:W3CDTF">2026-06-04T08:10:00Z</dcterms:created>
  <dcterms:modified xsi:type="dcterms:W3CDTF">2026-06-04T08:51:00Z</dcterms:modified>
</cp:coreProperties>
</file>