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465C7B71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60BEEA31" w14:textId="77777777" w:rsidR="00E71356" w:rsidRPr="00E71356" w:rsidRDefault="00E71356" w:rsidP="00E71356">
      <w:pPr>
        <w:jc w:val="center"/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</w:pPr>
      <w:r w:rsidRPr="00E71356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Razvoj odličnosti in krepitev infrastrukture za raziskave in inovacije</w:t>
      </w:r>
    </w:p>
    <w:p w14:paraId="6C687632" w14:textId="378ABE9A" w:rsidR="00732747" w:rsidRDefault="00732747" w:rsidP="009B51EF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9F74165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9A49EA3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E15A0F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55534E9A" w:rsidR="00D259A9" w:rsidRPr="00697D3B" w:rsidRDefault="0028784B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FB72209" w:rsidR="00D259A9" w:rsidRPr="00697D3B" w:rsidRDefault="00E71356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E71356">
              <w:rPr>
                <w:rFonts w:cs="Arial"/>
                <w:sz w:val="22"/>
                <w:szCs w:val="22"/>
                <w:lang w:val="sl-SI"/>
              </w:rPr>
              <w:t>Ministrstvo za visoko šolstvo, znanost in inovacije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34ED4276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E7135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0D1B85DB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Realizacija ukrepa je bila usmerjena v izboljšanje mednarodne konkurenčnosti in odličnosti raziskav, krepitev sodelovanja v globalnih verigah vrednosti, boljšo izrabo in nadaljnji razvoj raziskovalne infrastrukture.</w:t>
      </w:r>
    </w:p>
    <w:p w14:paraId="73EAE5FE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5862D66" w14:textId="77777777" w:rsidR="00E71356" w:rsidRPr="00E71356" w:rsidRDefault="00E71356" w:rsidP="00E7135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Izvedene so bile aktivnosti za učinkovitejše vključevanje v mednarodne raziskovalne programe, vključno s programom Obzorje 2020. Nadalje je bila spodbujena izraba raziskovalnega potenciala raziskovalcev, zlasti z zagotavljanjem njihove mednarodne mobilnosti ter mobilnosti med akademsko in podjetniško sfero. Poleg tega je bilo okrepljeno povezovanje različnih področij – znanosti, kulturnih in kreativnih industrij ter gospodarstva – z namenom ustvarjanja sinergij in večje prepoznavnosti na mednarodni ravni.</w:t>
      </w:r>
    </w:p>
    <w:p w14:paraId="578859BA" w14:textId="77777777" w:rsidR="00E71356" w:rsidRPr="00E71356" w:rsidRDefault="00E71356" w:rsidP="00E7135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24E70CD6" w14:textId="77777777" w:rsidR="00E71356" w:rsidRPr="00E71356" w:rsidRDefault="00E71356" w:rsidP="00E7135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Trenutne aktivnosti, ki še potekajo:</w:t>
      </w:r>
    </w:p>
    <w:p w14:paraId="4EE44688" w14:textId="77777777" w:rsidR="00E71356" w:rsidRPr="00E71356" w:rsidRDefault="00E71356" w:rsidP="00E71356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 xml:space="preserve">projekti financirani iz Načrta za okrevanje in odpornost (NOO): </w:t>
      </w:r>
    </w:p>
    <w:p w14:paraId="2672B29D" w14:textId="77777777" w:rsidR="00E71356" w:rsidRPr="00E71356" w:rsidRDefault="00E71356" w:rsidP="00E71356">
      <w:pPr>
        <w:numPr>
          <w:ilvl w:val="1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krepitev pisarn za prenos tehnologij (KTO),</w:t>
      </w:r>
    </w:p>
    <w:p w14:paraId="193AF765" w14:textId="77777777" w:rsidR="00E71356" w:rsidRPr="00E71356" w:rsidRDefault="00E71356" w:rsidP="00E71356">
      <w:pPr>
        <w:numPr>
          <w:ilvl w:val="1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krepitev nacionalne mreže kontaktnih točk (NKT),</w:t>
      </w:r>
    </w:p>
    <w:p w14:paraId="0631A6AD" w14:textId="77777777" w:rsidR="00E71356" w:rsidRPr="00E71356" w:rsidRDefault="00E71356" w:rsidP="00E71356">
      <w:pPr>
        <w:numPr>
          <w:ilvl w:val="1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krepitev projektnih pisarn na javnih raziskovalnih organizacijah (JRO),</w:t>
      </w:r>
    </w:p>
    <w:p w14:paraId="39D3EB2D" w14:textId="77777777" w:rsidR="00E71356" w:rsidRPr="00E71356" w:rsidRDefault="00E71356" w:rsidP="00E71356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razpisi na tehnološki lestvici zrelosti (TRL 3–6) v skupni vrednosti 72 milijonov EUR,</w:t>
      </w:r>
    </w:p>
    <w:p w14:paraId="11F1FD42" w14:textId="77777777" w:rsidR="00E71356" w:rsidRPr="00E71356" w:rsidRDefault="00E71356" w:rsidP="00E71356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razpis za raziskovalce na začetku kariere (zaključna faza) in priprava razpisa za podporo raziskovalcem v gospodarstvu,</w:t>
      </w:r>
    </w:p>
    <w:p w14:paraId="0B8D93A3" w14:textId="77777777" w:rsidR="00E71356" w:rsidRPr="00E71356" w:rsidRDefault="00E71356" w:rsidP="00E71356">
      <w:pPr>
        <w:numPr>
          <w:ilvl w:val="0"/>
          <w:numId w:val="1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komplementarno financiranje v okviru evropskega programa Marie Skłodowska-Curie (MSCA) za podporo mednarodni mobilnosti in razvoju kadrov.</w:t>
      </w:r>
    </w:p>
    <w:p w14:paraId="516592B4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0B9EFF6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Ključno je tudi povezovanje v EU, in sicer:</w:t>
      </w:r>
    </w:p>
    <w:p w14:paraId="383791C6" w14:textId="77777777" w:rsidR="00E71356" w:rsidRPr="00E71356" w:rsidRDefault="00E71356" w:rsidP="00E71356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vključevanje v tematska partnerstva (zdravje, okolje, gospodarstvo),</w:t>
      </w:r>
    </w:p>
    <w:p w14:paraId="46E037DD" w14:textId="77777777" w:rsidR="00E71356" w:rsidRPr="00E71356" w:rsidRDefault="00E71356" w:rsidP="00E71356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aktivna vloga Slovenije v ESFRI (19 raziskovalnih infrastruktur),</w:t>
      </w:r>
    </w:p>
    <w:p w14:paraId="22CBF872" w14:textId="77777777" w:rsidR="00E71356" w:rsidRPr="00E71356" w:rsidRDefault="00E71356" w:rsidP="00E71356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članstvo v CERN,</w:t>
      </w:r>
    </w:p>
    <w:p w14:paraId="0606FB1E" w14:textId="77777777" w:rsidR="00E71356" w:rsidRPr="00E71356" w:rsidRDefault="00E71356" w:rsidP="00E71356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sodelovanje v EuroHPC (izgradnja superračunalnika in zagon AI Factory).</w:t>
      </w:r>
    </w:p>
    <w:p w14:paraId="54DC6F3C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7A439A0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E7135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62436705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Ni neposredne spremembe zakonodaje, ukrep temelji na strateških dokumentih in financiranju iz NOO ter evropskih programov.</w:t>
      </w:r>
    </w:p>
    <w:p w14:paraId="4ED417FD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9A91156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E7135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260AF493" w14:textId="77777777" w:rsidR="00E71356" w:rsidRPr="00E71356" w:rsidRDefault="00E71356" w:rsidP="00E71356">
      <w:pPr>
        <w:pStyle w:val="Odstavekseznama"/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 xml:space="preserve">Krepitev mednarodne konkurenčnosti – lažji dostop do globalnih verig vrednosti in večja prepoznavnost na mednarodni ravni </w:t>
      </w:r>
    </w:p>
    <w:p w14:paraId="0D556733" w14:textId="77777777" w:rsidR="00E71356" w:rsidRPr="00E71356" w:rsidRDefault="00E71356" w:rsidP="00E71356">
      <w:pPr>
        <w:pStyle w:val="Odstavekseznama"/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Izboljšana mobilnost raziskovalcev – podpora mednarodni mobilnosti ter prehajanju med akademsko in podjetniško sfero</w:t>
      </w:r>
    </w:p>
    <w:p w14:paraId="2064C10F" w14:textId="77777777" w:rsidR="00E71356" w:rsidRPr="00E71356" w:rsidRDefault="00E71356" w:rsidP="00E71356">
      <w:pPr>
        <w:pStyle w:val="Odstavekseznama"/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Dostop do raziskovalne infrastrukture – vključitev v 19 evropskih infrastruktur (ESFRI), CERN, EuroHPC, kar omogoča uporabo najsodobnejše opreme</w:t>
      </w:r>
    </w:p>
    <w:p w14:paraId="544F1266" w14:textId="77777777" w:rsidR="00E71356" w:rsidRPr="00E71356" w:rsidRDefault="00E71356" w:rsidP="00E71356">
      <w:pPr>
        <w:pStyle w:val="Odstavekseznama"/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lastRenderedPageBreak/>
        <w:t>Podpora prenosu znanja v gospodarstvo – krepitev pisarn za prenos tehnologij (KTO), projektnih pisarn in mreže kontaktnih točk</w:t>
      </w:r>
    </w:p>
    <w:p w14:paraId="7881A480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090AD5A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E7135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9570A11" w14:textId="77777777" w:rsidR="00E71356" w:rsidRPr="00E71356" w:rsidRDefault="00E71356" w:rsidP="00E71356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Raziskovalce (akademska sfera)</w:t>
      </w:r>
    </w:p>
    <w:p w14:paraId="4B2A2D1B" w14:textId="77777777" w:rsidR="00E71356" w:rsidRPr="00E71356" w:rsidRDefault="00E71356" w:rsidP="00E71356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Gospodarstvo (podjetja, ki sodelujejo v raziskovalnih projektih)</w:t>
      </w:r>
    </w:p>
    <w:p w14:paraId="2C11331C" w14:textId="77777777" w:rsidR="00E71356" w:rsidRPr="00E71356" w:rsidRDefault="00E71356" w:rsidP="00E71356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Javne raziskovalne organizacije</w:t>
      </w:r>
    </w:p>
    <w:p w14:paraId="2AE28BE5" w14:textId="77777777" w:rsidR="00E71356" w:rsidRPr="00E71356" w:rsidRDefault="00E71356" w:rsidP="00E71356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Nacionalne kontaktne točke in pisarne za prenos tehnologij</w:t>
      </w:r>
    </w:p>
    <w:p w14:paraId="501D980C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A5EE59E" w14:textId="77777777" w:rsidR="00E71356" w:rsidRPr="00E71356" w:rsidRDefault="00E71356" w:rsidP="00E7135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E7135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459BAF65" w14:textId="77777777" w:rsidR="00E71356" w:rsidRPr="00E71356" w:rsidRDefault="00E71356" w:rsidP="00E7135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E71356">
        <w:rPr>
          <w:rFonts w:asciiTheme="majorHAnsi" w:hAnsiTheme="majorHAnsi"/>
          <w:sz w:val="22"/>
          <w:szCs w:val="22"/>
          <w:lang w:val="sl-SI"/>
        </w:rPr>
        <w:t>Učinki so usmerjeni v razvoj, in sicer krepitev raziskovalne infrastrukture, mobilnosti in mednarodne konkurenčnosti. Ključni učinki so torej večja mednarodna vključenost, lažji dostop do infrastrukture, več finančnih priložnosti in krepitev povezovanja z gospodarstvom.</w:t>
      </w:r>
    </w:p>
    <w:p w14:paraId="0A03F697" w14:textId="2461E357" w:rsidR="00A722FA" w:rsidRPr="009B51EF" w:rsidRDefault="00A722FA" w:rsidP="00E7135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9B51EF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1B4E" w14:textId="77777777" w:rsidR="00C26033" w:rsidRDefault="00C26033" w:rsidP="00AD3F42">
      <w:pPr>
        <w:spacing w:before="0" w:after="0" w:line="240" w:lineRule="auto"/>
      </w:pPr>
      <w:r>
        <w:separator/>
      </w:r>
    </w:p>
  </w:endnote>
  <w:endnote w:type="continuationSeparator" w:id="0">
    <w:p w14:paraId="134685AB" w14:textId="77777777" w:rsidR="00C26033" w:rsidRDefault="00C26033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5F36" w14:textId="77777777" w:rsidR="00C26033" w:rsidRDefault="00C26033" w:rsidP="00AD3F42">
      <w:pPr>
        <w:spacing w:before="0" w:after="0" w:line="240" w:lineRule="auto"/>
      </w:pPr>
      <w:r>
        <w:separator/>
      </w:r>
    </w:p>
  </w:footnote>
  <w:footnote w:type="continuationSeparator" w:id="0">
    <w:p w14:paraId="2B8B9D46" w14:textId="77777777" w:rsidR="00C26033" w:rsidRDefault="00C26033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85A00"/>
    <w:multiLevelType w:val="multilevel"/>
    <w:tmpl w:val="E1B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44F0"/>
    <w:multiLevelType w:val="multilevel"/>
    <w:tmpl w:val="E1E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5104C"/>
    <w:multiLevelType w:val="multilevel"/>
    <w:tmpl w:val="B34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04BEA"/>
    <w:multiLevelType w:val="multilevel"/>
    <w:tmpl w:val="42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30079"/>
    <w:multiLevelType w:val="multilevel"/>
    <w:tmpl w:val="831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C7D8D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E416A"/>
    <w:multiLevelType w:val="multilevel"/>
    <w:tmpl w:val="8C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F0543"/>
    <w:multiLevelType w:val="multilevel"/>
    <w:tmpl w:val="2AA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8"/>
  </w:num>
  <w:num w:numId="3" w16cid:durableId="56365300">
    <w:abstractNumId w:val="12"/>
  </w:num>
  <w:num w:numId="4" w16cid:durableId="1245413311">
    <w:abstractNumId w:val="4"/>
  </w:num>
  <w:num w:numId="5" w16cid:durableId="87820387">
    <w:abstractNumId w:val="13"/>
  </w:num>
  <w:num w:numId="6" w16cid:durableId="128135162">
    <w:abstractNumId w:val="15"/>
  </w:num>
  <w:num w:numId="7" w16cid:durableId="441531018">
    <w:abstractNumId w:val="9"/>
  </w:num>
  <w:num w:numId="8" w16cid:durableId="1724676860">
    <w:abstractNumId w:val="2"/>
  </w:num>
  <w:num w:numId="9" w16cid:durableId="1779639432">
    <w:abstractNumId w:val="1"/>
  </w:num>
  <w:num w:numId="10" w16cid:durableId="2089956847">
    <w:abstractNumId w:val="7"/>
  </w:num>
  <w:num w:numId="11" w16cid:durableId="755326712">
    <w:abstractNumId w:val="11"/>
  </w:num>
  <w:num w:numId="12" w16cid:durableId="1787653149">
    <w:abstractNumId w:val="18"/>
  </w:num>
  <w:num w:numId="13" w16cid:durableId="903444639">
    <w:abstractNumId w:val="14"/>
  </w:num>
  <w:num w:numId="14" w16cid:durableId="750926515">
    <w:abstractNumId w:val="10"/>
  </w:num>
  <w:num w:numId="15" w16cid:durableId="963926181">
    <w:abstractNumId w:val="6"/>
  </w:num>
  <w:num w:numId="16" w16cid:durableId="1382441412">
    <w:abstractNumId w:val="3"/>
  </w:num>
  <w:num w:numId="17" w16cid:durableId="362679950">
    <w:abstractNumId w:val="17"/>
  </w:num>
  <w:num w:numId="18" w16cid:durableId="1390305163">
    <w:abstractNumId w:val="5"/>
  </w:num>
  <w:num w:numId="19" w16cid:durableId="177100298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2945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86189"/>
    <w:rsid w:val="00192524"/>
    <w:rsid w:val="00196E67"/>
    <w:rsid w:val="001D577A"/>
    <w:rsid w:val="001E2996"/>
    <w:rsid w:val="002038E5"/>
    <w:rsid w:val="002157C2"/>
    <w:rsid w:val="00240CEA"/>
    <w:rsid w:val="00241E95"/>
    <w:rsid w:val="0028039F"/>
    <w:rsid w:val="0028784B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40309F"/>
    <w:rsid w:val="004179ED"/>
    <w:rsid w:val="004313CA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47283"/>
    <w:rsid w:val="007B74DD"/>
    <w:rsid w:val="007C7186"/>
    <w:rsid w:val="007D1625"/>
    <w:rsid w:val="007D17A4"/>
    <w:rsid w:val="007D1F42"/>
    <w:rsid w:val="008551BD"/>
    <w:rsid w:val="00855687"/>
    <w:rsid w:val="0087046F"/>
    <w:rsid w:val="00880078"/>
    <w:rsid w:val="00882877"/>
    <w:rsid w:val="008852D3"/>
    <w:rsid w:val="0089763A"/>
    <w:rsid w:val="008B2C2E"/>
    <w:rsid w:val="008B6B4A"/>
    <w:rsid w:val="008B768D"/>
    <w:rsid w:val="008D6235"/>
    <w:rsid w:val="008E5D6E"/>
    <w:rsid w:val="009101CE"/>
    <w:rsid w:val="00924514"/>
    <w:rsid w:val="00954416"/>
    <w:rsid w:val="009B51EF"/>
    <w:rsid w:val="00A21C07"/>
    <w:rsid w:val="00A71951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760BC"/>
    <w:rsid w:val="00B97EA4"/>
    <w:rsid w:val="00BA0084"/>
    <w:rsid w:val="00BA1C43"/>
    <w:rsid w:val="00BA7709"/>
    <w:rsid w:val="00BB445B"/>
    <w:rsid w:val="00C26033"/>
    <w:rsid w:val="00C40D71"/>
    <w:rsid w:val="00C70D3A"/>
    <w:rsid w:val="00C919B0"/>
    <w:rsid w:val="00CD0FC6"/>
    <w:rsid w:val="00D1706A"/>
    <w:rsid w:val="00D259A9"/>
    <w:rsid w:val="00D7469A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356"/>
    <w:rsid w:val="00E71417"/>
    <w:rsid w:val="00E74C35"/>
    <w:rsid w:val="00EB6E97"/>
    <w:rsid w:val="00EF2787"/>
    <w:rsid w:val="00F1341B"/>
    <w:rsid w:val="00F24617"/>
    <w:rsid w:val="00F474BA"/>
    <w:rsid w:val="00F60050"/>
    <w:rsid w:val="00F9747F"/>
    <w:rsid w:val="00FA686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6</cp:revision>
  <cp:lastPrinted>2026-05-28T06:22:00Z</cp:lastPrinted>
  <dcterms:created xsi:type="dcterms:W3CDTF">2026-05-25T09:25:00Z</dcterms:created>
  <dcterms:modified xsi:type="dcterms:W3CDTF">2026-05-28T07:40:00Z</dcterms:modified>
</cp:coreProperties>
</file>