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4E7BA687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49F74165" w14:textId="36896FAD" w:rsidR="009B51EF" w:rsidRDefault="00246A05" w:rsidP="00246A05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246A05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Uvedba novega sistema izobraževanja poklicnih voznikov</w:t>
      </w:r>
    </w:p>
    <w:p w14:paraId="39A49EA3" w14:textId="77777777" w:rsidR="009B51EF" w:rsidRDefault="009B51EF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493709C" w14:textId="77777777" w:rsidR="00D1154D" w:rsidRDefault="00D1154D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85B80A5" w14:textId="77777777" w:rsidR="00D1154D" w:rsidRDefault="00D1154D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DE15A0F" w14:textId="77777777" w:rsidR="009B51EF" w:rsidRDefault="009B51EF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E7FC2C2" w14:textId="77777777" w:rsidR="00D50886" w:rsidRDefault="00D50886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0FF08D4" w14:textId="77777777" w:rsidR="00BB445B" w:rsidRDefault="00BB445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A77E13" w14:textId="77777777" w:rsidR="00497969" w:rsidRPr="001444CC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2F3E506D" w:rsidR="00D259A9" w:rsidRPr="00697D3B" w:rsidRDefault="009476ED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747AD77C" w:rsidR="00D259A9" w:rsidRPr="00697D3B" w:rsidRDefault="00D417C4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D417C4">
              <w:rPr>
                <w:rFonts w:cs="Arial"/>
                <w:sz w:val="22"/>
                <w:szCs w:val="22"/>
                <w:lang w:val="sl-SI"/>
              </w:rPr>
              <w:t xml:space="preserve">Ministrstvo za </w:t>
            </w:r>
            <w:r w:rsidR="00246A05">
              <w:rPr>
                <w:rFonts w:cs="Arial"/>
                <w:sz w:val="22"/>
                <w:szCs w:val="22"/>
                <w:lang w:val="sl-SI"/>
              </w:rPr>
              <w:t>infrastrukturo</w:t>
            </w:r>
          </w:p>
        </w:tc>
      </w:tr>
    </w:tbl>
    <w:p w14:paraId="54441373" w14:textId="77777777" w:rsidR="00656187" w:rsidRPr="00186189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48F9ECB8" w14:textId="77777777" w:rsidR="00246A05" w:rsidRPr="00246A05" w:rsidRDefault="00246A05" w:rsidP="00246A05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246A0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36FB3DAA" w14:textId="77777777" w:rsidR="00246A05" w:rsidRPr="00246A05" w:rsidRDefault="00246A05" w:rsidP="00246A05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246A05">
        <w:rPr>
          <w:rFonts w:asciiTheme="majorHAnsi" w:hAnsiTheme="majorHAnsi"/>
          <w:sz w:val="22"/>
          <w:szCs w:val="22"/>
          <w:lang w:val="sl-SI"/>
        </w:rPr>
        <w:t>Na pobudo OZS je bila obravnavana možnost uvedbe novega sistema izobraževanja poklicnih voznikov, ki bi vključeval mentorstvo v podjetjih ter dopolnitev srednješolskih programov. V okviru spremembe Pravilnika o temeljnih kvalifikacijah in rednem usposabljanju za voznike motornih vozil v cestnem prometu je bila naslovljena pobuda za enakovredno obravnavo programov Voznik (SPI) in Logistični tehnik (SSI), vendar je MVI podalo stališče, da programov ni možno enačiti.</w:t>
      </w:r>
      <w:r w:rsidRPr="00246A05">
        <w:rPr>
          <w:rFonts w:asciiTheme="majorHAnsi" w:hAnsiTheme="majorHAnsi"/>
          <w:sz w:val="22"/>
          <w:szCs w:val="22"/>
          <w:lang w:val="sl-SI"/>
        </w:rPr>
        <w:br/>
        <w:t>OZS je predlagala preučitev možnosti podobnega sistema kot na Hrvaškem, kjer se kandidati lahko vključijo v usposabljanje že pri 16 letih. MVI je opozorilo na omejitve (potreba po mentorjih, učnih mestih, nizka razvitost vajeništva).</w:t>
      </w:r>
    </w:p>
    <w:p w14:paraId="5F796F09" w14:textId="77777777" w:rsidR="00246A05" w:rsidRPr="00246A05" w:rsidRDefault="00246A05" w:rsidP="00246A05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</w:p>
    <w:p w14:paraId="50A582A9" w14:textId="77777777" w:rsidR="00246A05" w:rsidRPr="00246A05" w:rsidRDefault="00246A05" w:rsidP="00246A05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246A0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789277CA" w14:textId="77777777" w:rsidR="00246A05" w:rsidRPr="00246A05" w:rsidRDefault="00246A05" w:rsidP="00246A05">
      <w:pPr>
        <w:numPr>
          <w:ilvl w:val="0"/>
          <w:numId w:val="3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46A05">
        <w:rPr>
          <w:rFonts w:asciiTheme="majorHAnsi" w:hAnsiTheme="majorHAnsi"/>
          <w:sz w:val="22"/>
          <w:szCs w:val="22"/>
          <w:lang w:val="sl-SI"/>
        </w:rPr>
        <w:t>Zakon o varnosti cestnega prometa (ZPCP-2)</w:t>
      </w:r>
    </w:p>
    <w:p w14:paraId="260A7DE4" w14:textId="77777777" w:rsidR="00246A05" w:rsidRPr="00246A05" w:rsidRDefault="00246A05" w:rsidP="00246A05">
      <w:pPr>
        <w:numPr>
          <w:ilvl w:val="0"/>
          <w:numId w:val="32"/>
        </w:numPr>
        <w:spacing w:before="0" w:after="0" w:line="0" w:lineRule="atLeast"/>
        <w:rPr>
          <w:rFonts w:asciiTheme="majorHAnsi" w:eastAsia="Book Antiqua" w:hAnsiTheme="majorHAnsi" w:cs="Book Antiqua"/>
          <w:sz w:val="22"/>
          <w:szCs w:val="22"/>
          <w:lang w:val="sl-SI"/>
        </w:rPr>
      </w:pPr>
      <w:r w:rsidRPr="00246A05">
        <w:rPr>
          <w:rFonts w:asciiTheme="majorHAnsi" w:hAnsiTheme="majorHAnsi"/>
          <w:sz w:val="22"/>
          <w:szCs w:val="22"/>
          <w:lang w:val="sl-SI"/>
        </w:rPr>
        <w:t xml:space="preserve">Pravilnik o temeljnih kvalifikacijah in rednem usposabljanju za voznike motornih vozil v cestnem prometu </w:t>
      </w:r>
      <w:r w:rsidRPr="00246A05">
        <w:rPr>
          <w:rFonts w:asciiTheme="majorHAnsi" w:eastAsia="Book Antiqua" w:hAnsiTheme="majorHAnsi" w:cs="Book Antiqua"/>
          <w:sz w:val="22"/>
          <w:szCs w:val="22"/>
          <w:lang w:val="sl-SI"/>
        </w:rPr>
        <w:t>(Uradni list RS, št. 15/25)</w:t>
      </w:r>
    </w:p>
    <w:p w14:paraId="7B8C50E4" w14:textId="77777777" w:rsidR="00246A05" w:rsidRPr="00246A05" w:rsidRDefault="00246A05" w:rsidP="00246A05">
      <w:pPr>
        <w:spacing w:before="0" w:after="0" w:line="0" w:lineRule="atLeast"/>
        <w:ind w:left="720"/>
        <w:rPr>
          <w:rFonts w:asciiTheme="majorHAnsi" w:hAnsiTheme="majorHAnsi"/>
          <w:sz w:val="22"/>
          <w:szCs w:val="22"/>
          <w:lang w:val="sl-SI"/>
        </w:rPr>
      </w:pPr>
    </w:p>
    <w:p w14:paraId="51083C74" w14:textId="77777777" w:rsidR="00246A05" w:rsidRPr="00246A05" w:rsidRDefault="00246A05" w:rsidP="00246A05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246A0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44041145" w14:textId="77777777" w:rsidR="00246A05" w:rsidRPr="00246A05" w:rsidRDefault="00246A05" w:rsidP="00246A05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246A05">
        <w:rPr>
          <w:rFonts w:asciiTheme="majorHAnsi" w:hAnsiTheme="majorHAnsi"/>
          <w:sz w:val="22"/>
          <w:szCs w:val="22"/>
          <w:lang w:val="sl-SI"/>
        </w:rPr>
        <w:t>Preučitev možnosti uvedbe novega poklicnega programa in prilagoditev obstoječih kurikulov bi omogočila bolj fleksibilno izobraževanje ter zmanjšala administrativne postopke pri pridobivanju kvalifikacij.</w:t>
      </w:r>
    </w:p>
    <w:p w14:paraId="6B1769D1" w14:textId="77777777" w:rsidR="00246A05" w:rsidRPr="00246A05" w:rsidRDefault="00246A05" w:rsidP="00246A0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7C436A63" w14:textId="77777777" w:rsidR="00246A05" w:rsidRPr="00246A05" w:rsidRDefault="00246A05" w:rsidP="00246A05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246A0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415554B8" w14:textId="77777777" w:rsidR="00246A05" w:rsidRPr="00246A05" w:rsidRDefault="00246A05" w:rsidP="00246A05">
      <w:pPr>
        <w:numPr>
          <w:ilvl w:val="0"/>
          <w:numId w:val="3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46A05">
        <w:rPr>
          <w:rFonts w:asciiTheme="majorHAnsi" w:hAnsiTheme="majorHAnsi"/>
          <w:sz w:val="22"/>
          <w:szCs w:val="22"/>
          <w:lang w:val="sl-SI"/>
        </w:rPr>
        <w:t>Poklicne voznike in kandidate za poklicne voznike</w:t>
      </w:r>
    </w:p>
    <w:p w14:paraId="01A00152" w14:textId="77777777" w:rsidR="00246A05" w:rsidRPr="00246A05" w:rsidRDefault="00246A05" w:rsidP="00246A05">
      <w:pPr>
        <w:numPr>
          <w:ilvl w:val="0"/>
          <w:numId w:val="3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46A05">
        <w:rPr>
          <w:rFonts w:asciiTheme="majorHAnsi" w:hAnsiTheme="majorHAnsi"/>
          <w:sz w:val="22"/>
          <w:szCs w:val="22"/>
          <w:lang w:val="sl-SI"/>
        </w:rPr>
        <w:t>Prevozniška podjetja</w:t>
      </w:r>
    </w:p>
    <w:p w14:paraId="725F5E88" w14:textId="77777777" w:rsidR="00246A05" w:rsidRPr="00246A05" w:rsidRDefault="00246A05" w:rsidP="00246A05">
      <w:pPr>
        <w:numPr>
          <w:ilvl w:val="0"/>
          <w:numId w:val="3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46A05">
        <w:rPr>
          <w:rFonts w:asciiTheme="majorHAnsi" w:hAnsiTheme="majorHAnsi"/>
          <w:sz w:val="22"/>
          <w:szCs w:val="22"/>
          <w:lang w:val="sl-SI"/>
        </w:rPr>
        <w:t>Izobraževalne ustanove (srednje šole, mentorji)</w:t>
      </w:r>
    </w:p>
    <w:p w14:paraId="4FBA8D01" w14:textId="77777777" w:rsidR="00246A05" w:rsidRPr="00246A05" w:rsidRDefault="00246A05" w:rsidP="00246A05">
      <w:pPr>
        <w:spacing w:before="0" w:after="0" w:line="0" w:lineRule="atLeast"/>
        <w:ind w:left="720"/>
        <w:rPr>
          <w:rFonts w:asciiTheme="majorHAnsi" w:hAnsiTheme="majorHAnsi"/>
          <w:sz w:val="22"/>
          <w:szCs w:val="22"/>
          <w:lang w:val="sl-SI"/>
        </w:rPr>
      </w:pPr>
    </w:p>
    <w:p w14:paraId="42C03FA5" w14:textId="77777777" w:rsidR="00246A05" w:rsidRPr="00246A05" w:rsidRDefault="00246A05" w:rsidP="00246A05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246A0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64568670" w14:textId="77777777" w:rsidR="00246A05" w:rsidRPr="00246A05" w:rsidRDefault="00246A05" w:rsidP="00246A05">
      <w:pPr>
        <w:numPr>
          <w:ilvl w:val="0"/>
          <w:numId w:val="3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46A05">
        <w:rPr>
          <w:rFonts w:asciiTheme="majorHAnsi" w:hAnsiTheme="majorHAnsi"/>
          <w:sz w:val="22"/>
          <w:szCs w:val="22"/>
          <w:lang w:val="sl-SI"/>
        </w:rPr>
        <w:t>Večja dostopnost poklica voznik</w:t>
      </w:r>
    </w:p>
    <w:p w14:paraId="66706D4C" w14:textId="77777777" w:rsidR="00246A05" w:rsidRPr="00246A05" w:rsidRDefault="00246A05" w:rsidP="00246A05">
      <w:pPr>
        <w:numPr>
          <w:ilvl w:val="0"/>
          <w:numId w:val="3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46A05">
        <w:rPr>
          <w:rFonts w:asciiTheme="majorHAnsi" w:hAnsiTheme="majorHAnsi"/>
          <w:sz w:val="22"/>
          <w:szCs w:val="22"/>
          <w:lang w:val="sl-SI"/>
        </w:rPr>
        <w:t>Hitrejši vstop mladih na trg dela</w:t>
      </w:r>
    </w:p>
    <w:p w14:paraId="021DEB0F" w14:textId="77777777" w:rsidR="00246A05" w:rsidRPr="00246A05" w:rsidRDefault="00246A05" w:rsidP="00246A05">
      <w:pPr>
        <w:numPr>
          <w:ilvl w:val="0"/>
          <w:numId w:val="3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46A05">
        <w:rPr>
          <w:rFonts w:asciiTheme="majorHAnsi" w:hAnsiTheme="majorHAnsi"/>
          <w:sz w:val="22"/>
          <w:szCs w:val="22"/>
          <w:lang w:val="sl-SI"/>
        </w:rPr>
        <w:t>Krepitev povezave med izobraževanjem in gospodarstvom</w:t>
      </w:r>
    </w:p>
    <w:p w14:paraId="50CF47E2" w14:textId="77777777" w:rsidR="00246A05" w:rsidRPr="00246A05" w:rsidRDefault="00246A05" w:rsidP="00246A05">
      <w:pPr>
        <w:numPr>
          <w:ilvl w:val="0"/>
          <w:numId w:val="3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46A05">
        <w:rPr>
          <w:rFonts w:asciiTheme="majorHAnsi" w:hAnsiTheme="majorHAnsi"/>
          <w:sz w:val="22"/>
          <w:szCs w:val="22"/>
          <w:lang w:val="sl-SI"/>
        </w:rPr>
        <w:t>Dolgoročno izboljšanje prometne varnosti in kadrovske stabilnosti v prevozništvu</w:t>
      </w:r>
    </w:p>
    <w:p w14:paraId="0A03F697" w14:textId="6A29A7E7" w:rsidR="00A722FA" w:rsidRPr="00246A05" w:rsidRDefault="00A722FA" w:rsidP="00246A0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sectPr w:rsidR="00A722FA" w:rsidRPr="00246A05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F8763" w14:textId="77777777" w:rsidR="005D281B" w:rsidRDefault="005D281B" w:rsidP="00AD3F42">
      <w:pPr>
        <w:spacing w:before="0" w:after="0" w:line="240" w:lineRule="auto"/>
      </w:pPr>
      <w:r>
        <w:separator/>
      </w:r>
    </w:p>
  </w:endnote>
  <w:endnote w:type="continuationSeparator" w:id="0">
    <w:p w14:paraId="205084BA" w14:textId="77777777" w:rsidR="005D281B" w:rsidRDefault="005D281B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EB55" w14:textId="77777777" w:rsidR="005D281B" w:rsidRDefault="005D281B" w:rsidP="00AD3F42">
      <w:pPr>
        <w:spacing w:before="0" w:after="0" w:line="240" w:lineRule="auto"/>
      </w:pPr>
      <w:r>
        <w:separator/>
      </w:r>
    </w:p>
  </w:footnote>
  <w:footnote w:type="continuationSeparator" w:id="0">
    <w:p w14:paraId="524AE608" w14:textId="77777777" w:rsidR="005D281B" w:rsidRDefault="005D281B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260D8"/>
    <w:multiLevelType w:val="multilevel"/>
    <w:tmpl w:val="D20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E6E0C"/>
    <w:multiLevelType w:val="multilevel"/>
    <w:tmpl w:val="283C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72D33"/>
    <w:multiLevelType w:val="multilevel"/>
    <w:tmpl w:val="539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547F3"/>
    <w:multiLevelType w:val="multilevel"/>
    <w:tmpl w:val="15D2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85A00"/>
    <w:multiLevelType w:val="multilevel"/>
    <w:tmpl w:val="E1BE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1D73EA"/>
    <w:multiLevelType w:val="multilevel"/>
    <w:tmpl w:val="47D4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21211"/>
    <w:multiLevelType w:val="multilevel"/>
    <w:tmpl w:val="8526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15141"/>
    <w:multiLevelType w:val="multilevel"/>
    <w:tmpl w:val="0172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744F0"/>
    <w:multiLevelType w:val="multilevel"/>
    <w:tmpl w:val="E1E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35104C"/>
    <w:multiLevelType w:val="multilevel"/>
    <w:tmpl w:val="B34C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B92635"/>
    <w:multiLevelType w:val="multilevel"/>
    <w:tmpl w:val="D20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62513"/>
    <w:multiLevelType w:val="multilevel"/>
    <w:tmpl w:val="21C6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672ED2"/>
    <w:multiLevelType w:val="multilevel"/>
    <w:tmpl w:val="E8C4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F87E33"/>
    <w:multiLevelType w:val="multilevel"/>
    <w:tmpl w:val="652C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9D2E52"/>
    <w:multiLevelType w:val="multilevel"/>
    <w:tmpl w:val="69D8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DB7A64"/>
    <w:multiLevelType w:val="multilevel"/>
    <w:tmpl w:val="2B98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F6132B"/>
    <w:multiLevelType w:val="multilevel"/>
    <w:tmpl w:val="139E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866932"/>
    <w:multiLevelType w:val="multilevel"/>
    <w:tmpl w:val="BF14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004BEA"/>
    <w:multiLevelType w:val="multilevel"/>
    <w:tmpl w:val="42B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30CF7"/>
    <w:multiLevelType w:val="multilevel"/>
    <w:tmpl w:val="3B6A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85305A"/>
    <w:multiLevelType w:val="multilevel"/>
    <w:tmpl w:val="64DE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1B418E"/>
    <w:multiLevelType w:val="multilevel"/>
    <w:tmpl w:val="57E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44687F"/>
    <w:multiLevelType w:val="multilevel"/>
    <w:tmpl w:val="3830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630079"/>
    <w:multiLevelType w:val="multilevel"/>
    <w:tmpl w:val="831A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BE23FA"/>
    <w:multiLevelType w:val="multilevel"/>
    <w:tmpl w:val="D20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C75BDD"/>
    <w:multiLevelType w:val="multilevel"/>
    <w:tmpl w:val="EF5C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874414"/>
    <w:multiLevelType w:val="multilevel"/>
    <w:tmpl w:val="0CF6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320B71"/>
    <w:multiLevelType w:val="multilevel"/>
    <w:tmpl w:val="D20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DE54D2"/>
    <w:multiLevelType w:val="multilevel"/>
    <w:tmpl w:val="8BF0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5C7D8D"/>
    <w:multiLevelType w:val="multilevel"/>
    <w:tmpl w:val="2A7C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3E416A"/>
    <w:multiLevelType w:val="multilevel"/>
    <w:tmpl w:val="8C3C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BD07B4"/>
    <w:multiLevelType w:val="multilevel"/>
    <w:tmpl w:val="7C1A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8F0543"/>
    <w:multiLevelType w:val="multilevel"/>
    <w:tmpl w:val="2AA6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288780434">
    <w:abstractNumId w:val="15"/>
  </w:num>
  <w:num w:numId="3" w16cid:durableId="56365300">
    <w:abstractNumId w:val="21"/>
  </w:num>
  <w:num w:numId="4" w16cid:durableId="1245413311">
    <w:abstractNumId w:val="8"/>
  </w:num>
  <w:num w:numId="5" w16cid:durableId="87820387">
    <w:abstractNumId w:val="22"/>
  </w:num>
  <w:num w:numId="6" w16cid:durableId="128135162">
    <w:abstractNumId w:val="26"/>
  </w:num>
  <w:num w:numId="7" w16cid:durableId="441531018">
    <w:abstractNumId w:val="17"/>
  </w:num>
  <w:num w:numId="8" w16cid:durableId="1724676860">
    <w:abstractNumId w:val="4"/>
  </w:num>
  <w:num w:numId="9" w16cid:durableId="1779639432">
    <w:abstractNumId w:val="3"/>
  </w:num>
  <w:num w:numId="10" w16cid:durableId="2089956847">
    <w:abstractNumId w:val="13"/>
  </w:num>
  <w:num w:numId="11" w16cid:durableId="755326712">
    <w:abstractNumId w:val="20"/>
  </w:num>
  <w:num w:numId="12" w16cid:durableId="1787653149">
    <w:abstractNumId w:val="33"/>
  </w:num>
  <w:num w:numId="13" w16cid:durableId="903444639">
    <w:abstractNumId w:val="24"/>
  </w:num>
  <w:num w:numId="14" w16cid:durableId="750926515">
    <w:abstractNumId w:val="19"/>
  </w:num>
  <w:num w:numId="15" w16cid:durableId="963926181">
    <w:abstractNumId w:val="10"/>
  </w:num>
  <w:num w:numId="16" w16cid:durableId="1382441412">
    <w:abstractNumId w:val="5"/>
  </w:num>
  <w:num w:numId="17" w16cid:durableId="362679950">
    <w:abstractNumId w:val="31"/>
  </w:num>
  <w:num w:numId="18" w16cid:durableId="1390305163">
    <w:abstractNumId w:val="9"/>
  </w:num>
  <w:num w:numId="19" w16cid:durableId="1771002981">
    <w:abstractNumId w:val="30"/>
  </w:num>
  <w:num w:numId="20" w16cid:durableId="1181234575">
    <w:abstractNumId w:val="6"/>
  </w:num>
  <w:num w:numId="21" w16cid:durableId="787964916">
    <w:abstractNumId w:val="25"/>
  </w:num>
  <w:num w:numId="22" w16cid:durableId="373501942">
    <w:abstractNumId w:val="27"/>
  </w:num>
  <w:num w:numId="23" w16cid:durableId="977147749">
    <w:abstractNumId w:val="32"/>
  </w:num>
  <w:num w:numId="24" w16cid:durableId="1961955168">
    <w:abstractNumId w:val="14"/>
  </w:num>
  <w:num w:numId="25" w16cid:durableId="1701970525">
    <w:abstractNumId w:val="7"/>
  </w:num>
  <w:num w:numId="26" w16cid:durableId="1012872900">
    <w:abstractNumId w:val="12"/>
  </w:num>
  <w:num w:numId="27" w16cid:durableId="2115854312">
    <w:abstractNumId w:val="18"/>
  </w:num>
  <w:num w:numId="28" w16cid:durableId="182204482">
    <w:abstractNumId w:val="2"/>
  </w:num>
  <w:num w:numId="29" w16cid:durableId="887643705">
    <w:abstractNumId w:val="23"/>
  </w:num>
  <w:num w:numId="30" w16cid:durableId="1708527860">
    <w:abstractNumId w:val="29"/>
  </w:num>
  <w:num w:numId="31" w16cid:durableId="297298878">
    <w:abstractNumId w:val="16"/>
  </w:num>
  <w:num w:numId="32" w16cid:durableId="1891182893">
    <w:abstractNumId w:val="11"/>
  </w:num>
  <w:num w:numId="33" w16cid:durableId="675963693">
    <w:abstractNumId w:val="28"/>
  </w:num>
  <w:num w:numId="34" w16cid:durableId="37790248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52302"/>
    <w:rsid w:val="0006397E"/>
    <w:rsid w:val="000649FA"/>
    <w:rsid w:val="000C0935"/>
    <w:rsid w:val="000E0005"/>
    <w:rsid w:val="000E5144"/>
    <w:rsid w:val="00105A25"/>
    <w:rsid w:val="001127D7"/>
    <w:rsid w:val="00135806"/>
    <w:rsid w:val="001444CC"/>
    <w:rsid w:val="00144510"/>
    <w:rsid w:val="00186189"/>
    <w:rsid w:val="00192524"/>
    <w:rsid w:val="00196E67"/>
    <w:rsid w:val="001D577A"/>
    <w:rsid w:val="002038E5"/>
    <w:rsid w:val="002157C2"/>
    <w:rsid w:val="00240CEA"/>
    <w:rsid w:val="00241E95"/>
    <w:rsid w:val="00246A05"/>
    <w:rsid w:val="0028039F"/>
    <w:rsid w:val="00287D7F"/>
    <w:rsid w:val="002A2B55"/>
    <w:rsid w:val="002B09E6"/>
    <w:rsid w:val="002B1270"/>
    <w:rsid w:val="00300F02"/>
    <w:rsid w:val="0030570C"/>
    <w:rsid w:val="0031593A"/>
    <w:rsid w:val="00377EDD"/>
    <w:rsid w:val="00383971"/>
    <w:rsid w:val="003879A5"/>
    <w:rsid w:val="003923B0"/>
    <w:rsid w:val="0039537C"/>
    <w:rsid w:val="00396E52"/>
    <w:rsid w:val="003A7A35"/>
    <w:rsid w:val="003C4CC5"/>
    <w:rsid w:val="003C673A"/>
    <w:rsid w:val="003F0901"/>
    <w:rsid w:val="003F0EF7"/>
    <w:rsid w:val="0040309F"/>
    <w:rsid w:val="004179ED"/>
    <w:rsid w:val="004313CA"/>
    <w:rsid w:val="0043764B"/>
    <w:rsid w:val="0044029D"/>
    <w:rsid w:val="00446A87"/>
    <w:rsid w:val="00455BAB"/>
    <w:rsid w:val="004563A5"/>
    <w:rsid w:val="0046214C"/>
    <w:rsid w:val="0047645E"/>
    <w:rsid w:val="00482ACF"/>
    <w:rsid w:val="00497969"/>
    <w:rsid w:val="004D568E"/>
    <w:rsid w:val="004F3A2D"/>
    <w:rsid w:val="0051501A"/>
    <w:rsid w:val="00551916"/>
    <w:rsid w:val="005911EE"/>
    <w:rsid w:val="005D281B"/>
    <w:rsid w:val="005D7D0B"/>
    <w:rsid w:val="00612E5E"/>
    <w:rsid w:val="00621095"/>
    <w:rsid w:val="006301BD"/>
    <w:rsid w:val="0063162F"/>
    <w:rsid w:val="00633534"/>
    <w:rsid w:val="00641428"/>
    <w:rsid w:val="00656187"/>
    <w:rsid w:val="00656FD1"/>
    <w:rsid w:val="00697748"/>
    <w:rsid w:val="00697D3B"/>
    <w:rsid w:val="006B5ED2"/>
    <w:rsid w:val="006D3DB1"/>
    <w:rsid w:val="0070009B"/>
    <w:rsid w:val="007249DD"/>
    <w:rsid w:val="00727541"/>
    <w:rsid w:val="00732747"/>
    <w:rsid w:val="00734E7E"/>
    <w:rsid w:val="007B74DD"/>
    <w:rsid w:val="007C7186"/>
    <w:rsid w:val="007D1625"/>
    <w:rsid w:val="007D17A4"/>
    <w:rsid w:val="007D1F42"/>
    <w:rsid w:val="008004A1"/>
    <w:rsid w:val="008551BD"/>
    <w:rsid w:val="00855687"/>
    <w:rsid w:val="0087046F"/>
    <w:rsid w:val="00880078"/>
    <w:rsid w:val="00882877"/>
    <w:rsid w:val="008852D3"/>
    <w:rsid w:val="0089763A"/>
    <w:rsid w:val="008B2C2E"/>
    <w:rsid w:val="008B6B4A"/>
    <w:rsid w:val="008B768D"/>
    <w:rsid w:val="008D6235"/>
    <w:rsid w:val="008E5D6E"/>
    <w:rsid w:val="009101CE"/>
    <w:rsid w:val="00924514"/>
    <w:rsid w:val="009476ED"/>
    <w:rsid w:val="00954416"/>
    <w:rsid w:val="009B51EF"/>
    <w:rsid w:val="00A21C07"/>
    <w:rsid w:val="00A71951"/>
    <w:rsid w:val="00A722FA"/>
    <w:rsid w:val="00A7569D"/>
    <w:rsid w:val="00AC2847"/>
    <w:rsid w:val="00AC54D8"/>
    <w:rsid w:val="00AD10CE"/>
    <w:rsid w:val="00AD3F42"/>
    <w:rsid w:val="00AF691A"/>
    <w:rsid w:val="00B00B0B"/>
    <w:rsid w:val="00B04CB0"/>
    <w:rsid w:val="00B16C71"/>
    <w:rsid w:val="00B17566"/>
    <w:rsid w:val="00B2735E"/>
    <w:rsid w:val="00B522F1"/>
    <w:rsid w:val="00B97EA4"/>
    <w:rsid w:val="00BA0084"/>
    <w:rsid w:val="00BA1C43"/>
    <w:rsid w:val="00BA7709"/>
    <w:rsid w:val="00BB445B"/>
    <w:rsid w:val="00BF7BB7"/>
    <w:rsid w:val="00C40D71"/>
    <w:rsid w:val="00C70D3A"/>
    <w:rsid w:val="00C919B0"/>
    <w:rsid w:val="00CD0FC6"/>
    <w:rsid w:val="00D1154D"/>
    <w:rsid w:val="00D1706A"/>
    <w:rsid w:val="00D259A9"/>
    <w:rsid w:val="00D417C4"/>
    <w:rsid w:val="00D50886"/>
    <w:rsid w:val="00D85AC4"/>
    <w:rsid w:val="00D85BDB"/>
    <w:rsid w:val="00D970E8"/>
    <w:rsid w:val="00DA1468"/>
    <w:rsid w:val="00DB2DA0"/>
    <w:rsid w:val="00DC7235"/>
    <w:rsid w:val="00DD7BF4"/>
    <w:rsid w:val="00DE3414"/>
    <w:rsid w:val="00DF108C"/>
    <w:rsid w:val="00E029A0"/>
    <w:rsid w:val="00E13044"/>
    <w:rsid w:val="00E13ADD"/>
    <w:rsid w:val="00E34F12"/>
    <w:rsid w:val="00E47FE0"/>
    <w:rsid w:val="00E71356"/>
    <w:rsid w:val="00E71417"/>
    <w:rsid w:val="00E74C35"/>
    <w:rsid w:val="00EB6E97"/>
    <w:rsid w:val="00EF2787"/>
    <w:rsid w:val="00F0061E"/>
    <w:rsid w:val="00F1341B"/>
    <w:rsid w:val="00F24617"/>
    <w:rsid w:val="00F474BA"/>
    <w:rsid w:val="00F60050"/>
    <w:rsid w:val="00F9602B"/>
    <w:rsid w:val="00F9747F"/>
    <w:rsid w:val="00FA686E"/>
    <w:rsid w:val="00FB4433"/>
    <w:rsid w:val="00FB52D4"/>
    <w:rsid w:val="00FC3A78"/>
    <w:rsid w:val="00FE6D5E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10</cp:revision>
  <cp:lastPrinted>2026-05-05T06:22:00Z</cp:lastPrinted>
  <dcterms:created xsi:type="dcterms:W3CDTF">2026-05-25T10:27:00Z</dcterms:created>
  <dcterms:modified xsi:type="dcterms:W3CDTF">2026-05-28T07:40:00Z</dcterms:modified>
</cp:coreProperties>
</file>