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63829CF5">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538CF147" w14:textId="40EA6DF4" w:rsidR="00AD3F42" w:rsidRPr="001444CC" w:rsidRDefault="005460EC" w:rsidP="005460EC">
      <w:pPr>
        <w:tabs>
          <w:tab w:val="left" w:pos="283"/>
        </w:tabs>
        <w:autoSpaceDE w:val="0"/>
        <w:autoSpaceDN w:val="0"/>
        <w:adjustRightInd w:val="0"/>
        <w:jc w:val="center"/>
        <w:textAlignment w:val="center"/>
        <w:rPr>
          <w:rFonts w:cs="Arial"/>
          <w:color w:val="000000"/>
          <w:szCs w:val="22"/>
          <w:lang w:val="sl-SI" w:eastAsia="sl-SI"/>
        </w:rPr>
      </w:pPr>
      <w:r w:rsidRPr="005460EC">
        <w:rPr>
          <w:rFonts w:cs="Aptos Narrow"/>
          <w:b/>
          <w:color w:val="000000"/>
          <w:sz w:val="36"/>
          <w:szCs w:val="36"/>
          <w:lang w:val="sl-SI"/>
          <w14:ligatures w14:val="standardContextual"/>
        </w:rPr>
        <w:t>Informacijska podpora za vpogled v evidenco kazenskih točk (EKT)</w:t>
      </w:r>
    </w:p>
    <w:p w14:paraId="2D757158"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5A7DEF8" w14:textId="77777777" w:rsidR="00D33171" w:rsidRDefault="00D33171" w:rsidP="00AD3F42">
      <w:pPr>
        <w:tabs>
          <w:tab w:val="left" w:pos="283"/>
        </w:tabs>
        <w:autoSpaceDE w:val="0"/>
        <w:autoSpaceDN w:val="0"/>
        <w:adjustRightInd w:val="0"/>
        <w:jc w:val="both"/>
        <w:textAlignment w:val="center"/>
        <w:rPr>
          <w:rFonts w:cs="Arial"/>
          <w:color w:val="000000"/>
          <w:szCs w:val="22"/>
          <w:lang w:val="sl-SI" w:eastAsia="sl-SI"/>
        </w:rPr>
      </w:pPr>
    </w:p>
    <w:p w14:paraId="61FB49A7" w14:textId="77777777" w:rsidR="00D33171" w:rsidRDefault="00D33171" w:rsidP="00AD3F42">
      <w:pPr>
        <w:tabs>
          <w:tab w:val="left" w:pos="283"/>
        </w:tabs>
        <w:autoSpaceDE w:val="0"/>
        <w:autoSpaceDN w:val="0"/>
        <w:adjustRightInd w:val="0"/>
        <w:jc w:val="both"/>
        <w:textAlignment w:val="center"/>
        <w:rPr>
          <w:rFonts w:cs="Arial"/>
          <w:color w:val="000000"/>
          <w:szCs w:val="22"/>
          <w:lang w:val="sl-SI" w:eastAsia="sl-SI"/>
        </w:rPr>
      </w:pPr>
    </w:p>
    <w:p w14:paraId="77C87572" w14:textId="77777777" w:rsidR="005460EC" w:rsidRDefault="005460EC"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Pr="001444CC"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proofErr w:type="spellStart"/>
      <w:r w:rsidRPr="00D1706A">
        <w:rPr>
          <w:rFonts w:cs="Arial"/>
          <w:b/>
          <w:lang w:eastAsia="sl-SI"/>
        </w:rPr>
        <w:t>Januar</w:t>
      </w:r>
      <w:proofErr w:type="spellEnd"/>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5FC71CF5" w14:textId="77777777" w:rsidR="00605A65" w:rsidRDefault="00605A65" w:rsidP="0040309F">
      <w:pPr>
        <w:tabs>
          <w:tab w:val="left" w:pos="5730"/>
        </w:tabs>
        <w:rPr>
          <w:rFonts w:cs="Arial"/>
          <w:b/>
          <w:lang w:eastAsia="sl-SI"/>
        </w:rPr>
      </w:pPr>
    </w:p>
    <w:p w14:paraId="72862E7C" w14:textId="77777777" w:rsidR="00605A65" w:rsidRDefault="00605A65" w:rsidP="0040309F">
      <w:pPr>
        <w:tabs>
          <w:tab w:val="left" w:pos="5730"/>
        </w:tabs>
        <w:rPr>
          <w:rFonts w:cs="Arial"/>
          <w:b/>
          <w:lang w:eastAsia="sl-SI"/>
        </w:rPr>
      </w:pPr>
    </w:p>
    <w:p w14:paraId="73652357" w14:textId="77777777" w:rsidR="00605A65" w:rsidRDefault="00605A65"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2493B5B7" w14:textId="77777777" w:rsidR="00991150" w:rsidRDefault="00991150" w:rsidP="0040309F">
      <w:pPr>
        <w:tabs>
          <w:tab w:val="left" w:pos="5730"/>
        </w:tabs>
        <w:rPr>
          <w:rFonts w:cs="Arial"/>
          <w:b/>
          <w:lang w:eastAsia="sl-SI"/>
        </w:rPr>
      </w:pPr>
    </w:p>
    <w:p w14:paraId="3F5A4D42" w14:textId="77777777" w:rsidR="00991150" w:rsidRDefault="00991150"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B6F45F4" w:rsidR="00D259A9" w:rsidRPr="00697D3B" w:rsidRDefault="00F80C01"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3A63A6FF" w:rsidR="00D259A9" w:rsidRPr="00697D3B" w:rsidRDefault="00605A65" w:rsidP="000E0300">
            <w:pPr>
              <w:rPr>
                <w:rFonts w:cs="Arial"/>
                <w:sz w:val="22"/>
                <w:szCs w:val="22"/>
                <w:lang w:val="sl-SI"/>
              </w:rPr>
            </w:pPr>
            <w:r>
              <w:rPr>
                <w:rFonts w:cs="Arial"/>
                <w:color w:val="000000"/>
                <w:sz w:val="22"/>
                <w:szCs w:val="22"/>
                <w:lang w:val="sl-SI" w:eastAsia="sl-SI"/>
              </w:rPr>
              <w:t>Ministrstvo za</w:t>
            </w:r>
            <w:r w:rsidR="005460EC">
              <w:rPr>
                <w:rFonts w:cs="Arial"/>
                <w:color w:val="000000"/>
                <w:sz w:val="22"/>
                <w:szCs w:val="22"/>
                <w:lang w:val="sl-SI" w:eastAsia="sl-SI"/>
              </w:rPr>
              <w:t xml:space="preserve"> pravosodje</w:t>
            </w:r>
          </w:p>
        </w:tc>
      </w:tr>
    </w:tbl>
    <w:p w14:paraId="54441373" w14:textId="77777777" w:rsidR="00656187" w:rsidRPr="00605A65" w:rsidRDefault="00656187" w:rsidP="00D259A9">
      <w:pPr>
        <w:rPr>
          <w:rFonts w:asciiTheme="majorHAnsi" w:hAnsiTheme="majorHAnsi"/>
          <w:color w:val="0F4761" w:themeColor="accent1" w:themeShade="BF"/>
          <w:sz w:val="32"/>
          <w:szCs w:val="32"/>
          <w:lang w:val="sl-SI"/>
        </w:rPr>
      </w:pPr>
    </w:p>
    <w:p w14:paraId="604E82C2" w14:textId="77777777" w:rsidR="005460EC" w:rsidRPr="005460EC" w:rsidRDefault="005460EC" w:rsidP="005460EC">
      <w:pPr>
        <w:spacing w:before="0" w:after="0" w:line="0" w:lineRule="atLeast"/>
        <w:rPr>
          <w:rFonts w:asciiTheme="majorHAnsi" w:hAnsiTheme="majorHAnsi"/>
          <w:color w:val="0F4761" w:themeColor="accent1" w:themeShade="BF"/>
          <w:sz w:val="32"/>
          <w:szCs w:val="32"/>
          <w:u w:val="single"/>
          <w:lang w:val="sl-SI"/>
        </w:rPr>
      </w:pPr>
      <w:r w:rsidRPr="005460EC">
        <w:rPr>
          <w:rFonts w:asciiTheme="majorHAnsi" w:hAnsiTheme="majorHAnsi"/>
          <w:color w:val="0F4761" w:themeColor="accent1" w:themeShade="BF"/>
          <w:sz w:val="32"/>
          <w:szCs w:val="32"/>
          <w:u w:val="single"/>
          <w:lang w:val="sl-SI"/>
        </w:rPr>
        <w:t>Opis sprememb</w:t>
      </w:r>
    </w:p>
    <w:p w14:paraId="3EFB3F7E" w14:textId="77777777" w:rsidR="005460EC" w:rsidRPr="005460EC" w:rsidRDefault="005460EC" w:rsidP="005460EC">
      <w:pPr>
        <w:spacing w:before="0" w:after="0" w:line="0" w:lineRule="atLeast"/>
        <w:jc w:val="both"/>
        <w:rPr>
          <w:rFonts w:asciiTheme="majorHAnsi" w:hAnsiTheme="majorHAnsi"/>
          <w:sz w:val="22"/>
          <w:szCs w:val="22"/>
          <w:lang w:val="sl-SI"/>
        </w:rPr>
      </w:pPr>
      <w:r w:rsidRPr="005460EC">
        <w:rPr>
          <w:rFonts w:asciiTheme="majorHAnsi" w:hAnsiTheme="majorHAnsi"/>
          <w:sz w:val="22"/>
          <w:szCs w:val="22"/>
          <w:lang w:val="sl-SI"/>
        </w:rPr>
        <w:t xml:space="preserve">Vzpostavljena je bila informacijska rešitev, ki omogoča neposreden vpogled v Evidenco kazenskih točk (EKT) in Evidenco </w:t>
      </w:r>
      <w:proofErr w:type="spellStart"/>
      <w:r w:rsidRPr="005460EC">
        <w:rPr>
          <w:rFonts w:asciiTheme="majorHAnsi" w:hAnsiTheme="majorHAnsi"/>
          <w:sz w:val="22"/>
          <w:szCs w:val="22"/>
          <w:lang w:val="sl-SI"/>
        </w:rPr>
        <w:t>prekrškovnih</w:t>
      </w:r>
      <w:proofErr w:type="spellEnd"/>
      <w:r w:rsidRPr="005460EC">
        <w:rPr>
          <w:rFonts w:asciiTheme="majorHAnsi" w:hAnsiTheme="majorHAnsi"/>
          <w:sz w:val="22"/>
          <w:szCs w:val="22"/>
          <w:lang w:val="sl-SI"/>
        </w:rPr>
        <w:t xml:space="preserve"> sodb. Pred uvedbo ukrepa je bilo potrebno pridobiti potrdila iz evidenc preko Ministrstva za pravosodje, kar je podaljševalo postopke in povzročalo administrativne stroške.</w:t>
      </w:r>
    </w:p>
    <w:p w14:paraId="47BF97A5" w14:textId="77777777" w:rsidR="005460EC" w:rsidRPr="005460EC" w:rsidRDefault="005460EC" w:rsidP="005460EC">
      <w:pPr>
        <w:spacing w:before="0" w:after="0" w:line="0" w:lineRule="atLeast"/>
        <w:jc w:val="both"/>
        <w:rPr>
          <w:rFonts w:asciiTheme="majorHAnsi" w:hAnsiTheme="majorHAnsi"/>
          <w:sz w:val="22"/>
          <w:szCs w:val="22"/>
          <w:lang w:val="sl-SI"/>
        </w:rPr>
      </w:pPr>
      <w:r w:rsidRPr="005460EC">
        <w:rPr>
          <w:rFonts w:asciiTheme="majorHAnsi" w:hAnsiTheme="majorHAnsi"/>
          <w:sz w:val="22"/>
          <w:szCs w:val="22"/>
          <w:lang w:val="sl-SI"/>
        </w:rPr>
        <w:br/>
        <w:t>Po novem je vpogled omogočen v trenutku dostopa do baze podatkov (približno 5 minut), kar prinaša pomembne časovne in stroškovne prihranke za vlagatelje, upravne enote (UE) in Ministrstvo za pravosodje.</w:t>
      </w:r>
    </w:p>
    <w:p w14:paraId="1C296ABD" w14:textId="77777777" w:rsidR="005460EC" w:rsidRPr="005460EC" w:rsidRDefault="005460EC" w:rsidP="005460EC">
      <w:pPr>
        <w:spacing w:before="0" w:after="0" w:line="0" w:lineRule="atLeast"/>
        <w:rPr>
          <w:rFonts w:asciiTheme="majorHAnsi" w:hAnsiTheme="majorHAnsi"/>
          <w:sz w:val="22"/>
          <w:szCs w:val="22"/>
          <w:lang w:val="sl-SI"/>
        </w:rPr>
      </w:pPr>
    </w:p>
    <w:p w14:paraId="7BF0874F" w14:textId="77777777" w:rsidR="005460EC" w:rsidRPr="005460EC" w:rsidRDefault="005460EC" w:rsidP="005460EC">
      <w:pPr>
        <w:spacing w:before="0" w:after="0" w:line="0" w:lineRule="atLeast"/>
        <w:rPr>
          <w:rFonts w:asciiTheme="majorHAnsi" w:hAnsiTheme="majorHAnsi"/>
          <w:color w:val="0F4761" w:themeColor="accent1" w:themeShade="BF"/>
          <w:sz w:val="32"/>
          <w:szCs w:val="32"/>
          <w:u w:val="single"/>
          <w:lang w:val="sl-SI"/>
        </w:rPr>
      </w:pPr>
      <w:r w:rsidRPr="005460EC">
        <w:rPr>
          <w:rFonts w:asciiTheme="majorHAnsi" w:hAnsiTheme="majorHAnsi"/>
          <w:color w:val="0F4761" w:themeColor="accent1" w:themeShade="BF"/>
          <w:sz w:val="32"/>
          <w:szCs w:val="32"/>
          <w:u w:val="single"/>
          <w:lang w:val="sl-SI"/>
        </w:rPr>
        <w:t>Zakonodaja, ki jo je bilo potrebno spremeniti</w:t>
      </w:r>
    </w:p>
    <w:p w14:paraId="5583D9CF" w14:textId="77777777" w:rsidR="005460EC" w:rsidRPr="005460EC" w:rsidRDefault="005460EC" w:rsidP="005460EC">
      <w:pPr>
        <w:spacing w:before="0" w:after="0" w:line="0" w:lineRule="atLeast"/>
        <w:jc w:val="both"/>
        <w:rPr>
          <w:rFonts w:asciiTheme="majorHAnsi" w:hAnsiTheme="majorHAnsi"/>
          <w:sz w:val="22"/>
          <w:szCs w:val="22"/>
          <w:lang w:val="sl-SI"/>
        </w:rPr>
      </w:pPr>
      <w:r w:rsidRPr="005460EC">
        <w:rPr>
          <w:rFonts w:asciiTheme="majorHAnsi" w:hAnsiTheme="majorHAnsi"/>
          <w:sz w:val="22"/>
          <w:szCs w:val="22"/>
          <w:lang w:val="sl-SI"/>
        </w:rPr>
        <w:t>Ni bilo potrebnih sprememb zakonodaje, ukrep temelji na uvedbi tehnične rešitve in prilagoditvi postopkov.</w:t>
      </w:r>
    </w:p>
    <w:p w14:paraId="3E47BAA2" w14:textId="77777777" w:rsidR="005460EC" w:rsidRPr="005460EC" w:rsidRDefault="005460EC" w:rsidP="005460EC">
      <w:pPr>
        <w:spacing w:before="0" w:after="0" w:line="0" w:lineRule="atLeast"/>
        <w:rPr>
          <w:rFonts w:asciiTheme="majorHAnsi" w:hAnsiTheme="majorHAnsi"/>
          <w:sz w:val="22"/>
          <w:szCs w:val="22"/>
          <w:lang w:val="sl-SI"/>
        </w:rPr>
      </w:pPr>
    </w:p>
    <w:p w14:paraId="60CFA9EC" w14:textId="77777777" w:rsidR="005460EC" w:rsidRPr="005460EC" w:rsidRDefault="005460EC" w:rsidP="005460EC">
      <w:pPr>
        <w:spacing w:before="0" w:after="0" w:line="0" w:lineRule="atLeast"/>
        <w:rPr>
          <w:rFonts w:asciiTheme="majorHAnsi" w:hAnsiTheme="majorHAnsi"/>
          <w:color w:val="0F4761" w:themeColor="accent1" w:themeShade="BF"/>
          <w:sz w:val="32"/>
          <w:szCs w:val="32"/>
          <w:u w:val="single"/>
          <w:lang w:val="sl-SI"/>
        </w:rPr>
      </w:pPr>
      <w:r w:rsidRPr="005460EC">
        <w:rPr>
          <w:rFonts w:asciiTheme="majorHAnsi" w:hAnsiTheme="majorHAnsi"/>
          <w:color w:val="0F4761" w:themeColor="accent1" w:themeShade="BF"/>
          <w:sz w:val="32"/>
          <w:szCs w:val="32"/>
          <w:u w:val="single"/>
          <w:lang w:val="sl-SI"/>
        </w:rPr>
        <w:t>Bistvo administrativne razbremenitve</w:t>
      </w:r>
    </w:p>
    <w:p w14:paraId="19B6B11B" w14:textId="77777777" w:rsidR="005460EC" w:rsidRPr="005460EC" w:rsidRDefault="005460EC" w:rsidP="005460EC">
      <w:pPr>
        <w:numPr>
          <w:ilvl w:val="0"/>
          <w:numId w:val="20"/>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Odprava potrebe po fizičnem pridobivanju potrdil iz evidenc</w:t>
      </w:r>
    </w:p>
    <w:p w14:paraId="10B521A4" w14:textId="77777777" w:rsidR="005460EC" w:rsidRPr="005460EC" w:rsidRDefault="005460EC" w:rsidP="005460EC">
      <w:pPr>
        <w:numPr>
          <w:ilvl w:val="0"/>
          <w:numId w:val="20"/>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Skrajšanje časa postopka z več dni na približno 5 minut</w:t>
      </w:r>
    </w:p>
    <w:p w14:paraId="0FD85956" w14:textId="77777777" w:rsidR="005460EC" w:rsidRPr="005460EC" w:rsidRDefault="005460EC" w:rsidP="005460EC">
      <w:pPr>
        <w:numPr>
          <w:ilvl w:val="0"/>
          <w:numId w:val="20"/>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Zmanjšanje administrativnih stroškov za vlagatelje, upravne enote in Ministrstvo za pravosodje</w:t>
      </w:r>
    </w:p>
    <w:p w14:paraId="79E7FA07" w14:textId="77777777" w:rsidR="005460EC" w:rsidRPr="005460EC" w:rsidRDefault="005460EC" w:rsidP="005460EC">
      <w:pPr>
        <w:spacing w:before="0" w:after="0" w:line="0" w:lineRule="atLeast"/>
        <w:rPr>
          <w:rFonts w:asciiTheme="majorHAnsi" w:hAnsiTheme="majorHAnsi"/>
          <w:sz w:val="22"/>
          <w:szCs w:val="22"/>
          <w:lang w:val="sl-SI"/>
        </w:rPr>
      </w:pPr>
    </w:p>
    <w:p w14:paraId="536FCAD0" w14:textId="77777777" w:rsidR="005460EC" w:rsidRPr="005460EC" w:rsidRDefault="005460EC" w:rsidP="005460EC">
      <w:pPr>
        <w:spacing w:before="0" w:after="0" w:line="0" w:lineRule="atLeast"/>
        <w:rPr>
          <w:rFonts w:asciiTheme="majorHAnsi" w:hAnsiTheme="majorHAnsi"/>
          <w:color w:val="0F4761" w:themeColor="accent1" w:themeShade="BF"/>
          <w:sz w:val="32"/>
          <w:szCs w:val="32"/>
          <w:u w:val="single"/>
          <w:lang w:val="sl-SI"/>
        </w:rPr>
      </w:pPr>
      <w:r w:rsidRPr="005460EC">
        <w:rPr>
          <w:rFonts w:asciiTheme="majorHAnsi" w:hAnsiTheme="majorHAnsi"/>
          <w:color w:val="0F4761" w:themeColor="accent1" w:themeShade="BF"/>
          <w:sz w:val="32"/>
          <w:szCs w:val="32"/>
          <w:u w:val="single"/>
          <w:lang w:val="sl-SI"/>
        </w:rPr>
        <w:t>Na koga sprememba vpliva</w:t>
      </w:r>
    </w:p>
    <w:p w14:paraId="02C4798A" w14:textId="77777777" w:rsidR="005460EC" w:rsidRPr="005460EC" w:rsidRDefault="005460EC" w:rsidP="005460EC">
      <w:pPr>
        <w:numPr>
          <w:ilvl w:val="0"/>
          <w:numId w:val="21"/>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 xml:space="preserve">Vlagatelje, ki oddajo vlogo za potrdilo iz </w:t>
      </w:r>
      <w:proofErr w:type="spellStart"/>
      <w:r w:rsidRPr="005460EC">
        <w:rPr>
          <w:rFonts w:asciiTheme="majorHAnsi" w:hAnsiTheme="majorHAnsi"/>
          <w:sz w:val="22"/>
          <w:szCs w:val="22"/>
          <w:lang w:val="sl-SI"/>
        </w:rPr>
        <w:t>prekrškovnih</w:t>
      </w:r>
      <w:proofErr w:type="spellEnd"/>
      <w:r w:rsidRPr="005460EC">
        <w:rPr>
          <w:rFonts w:asciiTheme="majorHAnsi" w:hAnsiTheme="majorHAnsi"/>
          <w:sz w:val="22"/>
          <w:szCs w:val="22"/>
          <w:lang w:val="sl-SI"/>
        </w:rPr>
        <w:t xml:space="preserve"> evidenc</w:t>
      </w:r>
    </w:p>
    <w:p w14:paraId="46774CCB" w14:textId="77777777" w:rsidR="005460EC" w:rsidRPr="005460EC" w:rsidRDefault="005460EC" w:rsidP="005460EC">
      <w:pPr>
        <w:numPr>
          <w:ilvl w:val="0"/>
          <w:numId w:val="21"/>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Ministrstvo za pravosodje, ki je prej izdajalo potrdila</w:t>
      </w:r>
    </w:p>
    <w:p w14:paraId="69C9E149" w14:textId="77777777" w:rsidR="005460EC" w:rsidRPr="005460EC" w:rsidRDefault="005460EC" w:rsidP="005460EC">
      <w:pPr>
        <w:numPr>
          <w:ilvl w:val="0"/>
          <w:numId w:val="21"/>
        </w:numPr>
        <w:spacing w:before="0" w:after="0" w:line="0" w:lineRule="atLeast"/>
        <w:rPr>
          <w:rFonts w:asciiTheme="majorHAnsi" w:hAnsiTheme="majorHAnsi"/>
          <w:sz w:val="22"/>
          <w:szCs w:val="22"/>
          <w:lang w:val="sl-SI"/>
        </w:rPr>
      </w:pPr>
      <w:r w:rsidRPr="005460EC">
        <w:rPr>
          <w:rFonts w:asciiTheme="majorHAnsi" w:hAnsiTheme="majorHAnsi"/>
          <w:sz w:val="22"/>
          <w:szCs w:val="22"/>
          <w:lang w:val="sl-SI"/>
        </w:rPr>
        <w:t>Upravne enote, ki izvajajo postopke, kjer so potrebni podatki iz evidenc</w:t>
      </w:r>
    </w:p>
    <w:p w14:paraId="00D4A0B0" w14:textId="77777777" w:rsidR="005460EC" w:rsidRPr="005460EC" w:rsidRDefault="005460EC" w:rsidP="005460EC">
      <w:pPr>
        <w:spacing w:before="0" w:after="0" w:line="0" w:lineRule="atLeast"/>
        <w:rPr>
          <w:rFonts w:asciiTheme="majorHAnsi" w:hAnsiTheme="majorHAnsi"/>
          <w:sz w:val="22"/>
          <w:szCs w:val="22"/>
          <w:lang w:val="sl-SI"/>
        </w:rPr>
      </w:pPr>
    </w:p>
    <w:p w14:paraId="78253A61" w14:textId="77777777" w:rsidR="005460EC" w:rsidRPr="005460EC" w:rsidRDefault="005460EC" w:rsidP="005460EC">
      <w:pPr>
        <w:spacing w:before="0" w:after="0" w:line="0" w:lineRule="atLeast"/>
        <w:rPr>
          <w:rFonts w:asciiTheme="majorHAnsi" w:hAnsiTheme="majorHAnsi"/>
          <w:color w:val="0F4761" w:themeColor="accent1" w:themeShade="BF"/>
          <w:sz w:val="32"/>
          <w:szCs w:val="32"/>
          <w:u w:val="single"/>
          <w:lang w:val="sl-SI"/>
        </w:rPr>
      </w:pPr>
      <w:r w:rsidRPr="005460EC">
        <w:rPr>
          <w:rFonts w:asciiTheme="majorHAnsi" w:hAnsiTheme="majorHAnsi"/>
          <w:color w:val="0F4761" w:themeColor="accent1" w:themeShade="BF"/>
          <w:sz w:val="32"/>
          <w:szCs w:val="32"/>
          <w:u w:val="single"/>
          <w:lang w:val="sl-SI"/>
        </w:rPr>
        <w:t>Skupni učinki</w:t>
      </w:r>
    </w:p>
    <w:p w14:paraId="473D8F27" w14:textId="77777777" w:rsidR="005460EC" w:rsidRPr="005460EC" w:rsidRDefault="005460EC" w:rsidP="005460EC">
      <w:pPr>
        <w:spacing w:before="0" w:after="0" w:line="0" w:lineRule="atLeast"/>
        <w:jc w:val="both"/>
        <w:rPr>
          <w:rFonts w:asciiTheme="majorHAnsi" w:hAnsiTheme="majorHAnsi"/>
          <w:sz w:val="22"/>
          <w:szCs w:val="22"/>
          <w:lang w:val="sl-SI"/>
        </w:rPr>
      </w:pPr>
      <w:r w:rsidRPr="005460EC">
        <w:rPr>
          <w:rFonts w:asciiTheme="majorHAnsi" w:hAnsiTheme="majorHAnsi"/>
          <w:sz w:val="22"/>
          <w:szCs w:val="22"/>
          <w:lang w:val="sl-SI"/>
        </w:rPr>
        <w:t xml:space="preserve">Ukrep prinaša skupni letni prihranek v višini 887.308,19 EUR. </w:t>
      </w:r>
    </w:p>
    <w:p w14:paraId="1FA9B08C" w14:textId="77777777" w:rsidR="005460EC" w:rsidRPr="005460EC" w:rsidRDefault="005460EC" w:rsidP="005460EC">
      <w:pPr>
        <w:spacing w:before="0" w:after="0" w:line="0" w:lineRule="atLeast"/>
        <w:jc w:val="both"/>
        <w:rPr>
          <w:rFonts w:asciiTheme="majorHAnsi" w:hAnsiTheme="majorHAnsi"/>
          <w:sz w:val="22"/>
          <w:szCs w:val="22"/>
          <w:lang w:val="sl-SI"/>
        </w:rPr>
      </w:pPr>
    </w:p>
    <w:p w14:paraId="4BE6BB7B" w14:textId="77777777" w:rsidR="005460EC" w:rsidRPr="005460EC" w:rsidRDefault="005460EC" w:rsidP="005460EC">
      <w:pPr>
        <w:spacing w:before="0" w:after="0" w:line="0" w:lineRule="atLeast"/>
        <w:jc w:val="both"/>
        <w:rPr>
          <w:rFonts w:asciiTheme="majorHAnsi" w:hAnsiTheme="majorHAnsi"/>
          <w:sz w:val="22"/>
          <w:szCs w:val="22"/>
          <w:lang w:val="sl-SI"/>
        </w:rPr>
      </w:pPr>
      <w:r w:rsidRPr="005460EC">
        <w:rPr>
          <w:rFonts w:asciiTheme="majorHAnsi" w:hAnsiTheme="majorHAnsi"/>
          <w:sz w:val="22"/>
          <w:szCs w:val="22"/>
          <w:lang w:val="sl-SI"/>
        </w:rPr>
        <w:t>Največji prihranki nastajajo pri postopkih pridobivanja dovoljenj za prebivanje tujcev, vpisu spremljevalca v evidenčni karton vožnje ter pridobivanju orožnih listin. Poleg finančnih učinkov ukrep prinaša tudi bistvene časovne prihranke, saj je vpogled v evidenco omogočen takoj, brez čakanja na izdajo potrdila.</w:t>
      </w:r>
    </w:p>
    <w:p w14:paraId="4AE9F171" w14:textId="77777777" w:rsidR="00605A65" w:rsidRDefault="00605A65" w:rsidP="001765E8">
      <w:pPr>
        <w:rPr>
          <w:lang w:val="sl-SI"/>
        </w:rPr>
      </w:pPr>
    </w:p>
    <w:p w14:paraId="3A7C6448" w14:textId="77777777" w:rsidR="00605A65" w:rsidRDefault="00605A65" w:rsidP="001765E8">
      <w:pPr>
        <w:rPr>
          <w:lang w:val="sl-SI"/>
        </w:rPr>
      </w:pPr>
    </w:p>
    <w:p w14:paraId="52B62098" w14:textId="77777777" w:rsidR="00605A65" w:rsidRDefault="00605A65" w:rsidP="001765E8">
      <w:pPr>
        <w:rPr>
          <w:lang w:val="sl-SI"/>
        </w:rPr>
      </w:pPr>
    </w:p>
    <w:p w14:paraId="05FBDFD8" w14:textId="77777777" w:rsidR="00605A65" w:rsidRDefault="00605A65" w:rsidP="001765E8">
      <w:pPr>
        <w:rPr>
          <w:lang w:val="sl-SI"/>
        </w:rPr>
      </w:pPr>
    </w:p>
    <w:p w14:paraId="30C94D1E" w14:textId="77777777" w:rsidR="00605A65" w:rsidRDefault="00605A65" w:rsidP="001765E8">
      <w:pPr>
        <w:rPr>
          <w:lang w:val="sl-SI"/>
        </w:rPr>
      </w:pPr>
    </w:p>
    <w:p w14:paraId="56BEF913" w14:textId="77777777" w:rsidR="007D7F3F" w:rsidRDefault="007D7F3F" w:rsidP="001765E8">
      <w:pPr>
        <w:rPr>
          <w:lang w:val="sl-SI"/>
        </w:rPr>
      </w:pPr>
    </w:p>
    <w:p w14:paraId="70EBD166" w14:textId="1462A951" w:rsidR="001765E8" w:rsidRDefault="001765E8" w:rsidP="001765E8">
      <w:pPr>
        <w:rPr>
          <w:lang w:val="sl-SI"/>
        </w:rPr>
      </w:pPr>
      <w:r>
        <w:rPr>
          <w:lang w:val="sl-SI"/>
        </w:rPr>
        <w:lastRenderedPageBreak/>
        <w:t>TABELA kot slika:</w:t>
      </w:r>
    </w:p>
    <w:tbl>
      <w:tblPr>
        <w:tblW w:w="5000" w:type="pct"/>
        <w:jc w:val="center"/>
        <w:tblLayout w:type="fixed"/>
        <w:tblCellMar>
          <w:left w:w="70" w:type="dxa"/>
          <w:right w:w="70" w:type="dxa"/>
        </w:tblCellMar>
        <w:tblLook w:val="04A0" w:firstRow="1" w:lastRow="0" w:firstColumn="1" w:lastColumn="0" w:noHBand="0" w:noVBand="1"/>
      </w:tblPr>
      <w:tblGrid>
        <w:gridCol w:w="3673"/>
        <w:gridCol w:w="1702"/>
        <w:gridCol w:w="1702"/>
        <w:gridCol w:w="1975"/>
      </w:tblGrid>
      <w:tr w:rsidR="0026070B" w:rsidRPr="0026070B" w14:paraId="576DE21A" w14:textId="77777777" w:rsidTr="0026070B">
        <w:trPr>
          <w:trHeight w:val="375"/>
          <w:jc w:val="center"/>
        </w:trPr>
        <w:tc>
          <w:tcPr>
            <w:tcW w:w="5000" w:type="pct"/>
            <w:gridSpan w:val="4"/>
            <w:tcBorders>
              <w:top w:val="single" w:sz="8" w:space="0" w:color="auto"/>
              <w:left w:val="single" w:sz="8" w:space="0" w:color="auto"/>
              <w:bottom w:val="single" w:sz="4" w:space="0" w:color="auto"/>
              <w:right w:val="single" w:sz="8" w:space="0" w:color="000000"/>
            </w:tcBorders>
            <w:vAlign w:val="center"/>
            <w:hideMark/>
          </w:tcPr>
          <w:p w14:paraId="0B3A5224" w14:textId="77777777" w:rsidR="0026070B" w:rsidRPr="0026070B" w:rsidRDefault="0026070B" w:rsidP="0026070B">
            <w:pPr>
              <w:rPr>
                <w:b/>
                <w:bCs/>
                <w:lang w:val="sl-SI"/>
              </w:rPr>
            </w:pPr>
            <w:r w:rsidRPr="0026070B">
              <w:rPr>
                <w:b/>
                <w:bCs/>
                <w:lang w:val="sl-SI"/>
              </w:rPr>
              <w:t xml:space="preserve">SKUPNI PRIHRANKI </w:t>
            </w:r>
          </w:p>
        </w:tc>
      </w:tr>
      <w:tr w:rsidR="0026070B" w:rsidRPr="0026070B" w14:paraId="317F8784" w14:textId="77777777" w:rsidTr="0026070B">
        <w:trPr>
          <w:trHeight w:val="1209"/>
          <w:jc w:val="center"/>
        </w:trPr>
        <w:tc>
          <w:tcPr>
            <w:tcW w:w="2029" w:type="pct"/>
            <w:tcBorders>
              <w:top w:val="single" w:sz="4" w:space="0" w:color="auto"/>
              <w:left w:val="single" w:sz="4" w:space="0" w:color="auto"/>
              <w:bottom w:val="single" w:sz="4" w:space="0" w:color="auto"/>
              <w:right w:val="single" w:sz="4" w:space="0" w:color="auto"/>
            </w:tcBorders>
            <w:noWrap/>
            <w:vAlign w:val="center"/>
            <w:hideMark/>
          </w:tcPr>
          <w:p w14:paraId="2D87F409" w14:textId="77777777" w:rsidR="0026070B" w:rsidRPr="0026070B" w:rsidRDefault="0026070B" w:rsidP="0026070B">
            <w:pPr>
              <w:rPr>
                <w:i/>
                <w:iCs/>
                <w:lang w:val="sl-SI"/>
              </w:rPr>
            </w:pPr>
            <w:r w:rsidRPr="0026070B">
              <w:rPr>
                <w:i/>
                <w:iCs/>
                <w:lang w:val="sl-SI"/>
              </w:rPr>
              <w:t>POSTOPEK</w:t>
            </w:r>
          </w:p>
        </w:tc>
        <w:tc>
          <w:tcPr>
            <w:tcW w:w="940" w:type="pct"/>
            <w:tcBorders>
              <w:top w:val="single" w:sz="4" w:space="0" w:color="auto"/>
              <w:left w:val="single" w:sz="4" w:space="0" w:color="auto"/>
              <w:bottom w:val="single" w:sz="4" w:space="0" w:color="auto"/>
              <w:right w:val="single" w:sz="4" w:space="0" w:color="auto"/>
            </w:tcBorders>
            <w:vAlign w:val="center"/>
            <w:hideMark/>
          </w:tcPr>
          <w:p w14:paraId="53A9C905" w14:textId="77777777" w:rsidR="0026070B" w:rsidRPr="0026070B" w:rsidRDefault="0026070B" w:rsidP="0026070B">
            <w:pPr>
              <w:rPr>
                <w:lang w:val="sl-SI"/>
              </w:rPr>
            </w:pPr>
            <w:r w:rsidRPr="0026070B">
              <w:rPr>
                <w:lang w:val="sl-SI"/>
              </w:rPr>
              <w:t>ADMINISTRATIVNI STROŠKI pred implementacijo ukrepa</w:t>
            </w:r>
          </w:p>
        </w:tc>
        <w:tc>
          <w:tcPr>
            <w:tcW w:w="940" w:type="pct"/>
            <w:tcBorders>
              <w:top w:val="single" w:sz="4" w:space="0" w:color="auto"/>
              <w:left w:val="single" w:sz="4" w:space="0" w:color="auto"/>
              <w:bottom w:val="single" w:sz="4" w:space="0" w:color="auto"/>
              <w:right w:val="single" w:sz="4" w:space="0" w:color="auto"/>
            </w:tcBorders>
            <w:vAlign w:val="center"/>
            <w:hideMark/>
          </w:tcPr>
          <w:p w14:paraId="3391B728" w14:textId="77777777" w:rsidR="0026070B" w:rsidRPr="0026070B" w:rsidRDefault="0026070B" w:rsidP="0026070B">
            <w:pPr>
              <w:rPr>
                <w:lang w:val="sl-SI"/>
              </w:rPr>
            </w:pPr>
            <w:r w:rsidRPr="0026070B">
              <w:rPr>
                <w:lang w:val="sl-SI"/>
              </w:rPr>
              <w:t>ADMINISTRATIVNI STROŠKI</w:t>
            </w:r>
          </w:p>
          <w:p w14:paraId="782C5A69" w14:textId="77777777" w:rsidR="0026070B" w:rsidRPr="0026070B" w:rsidRDefault="0026070B" w:rsidP="0026070B">
            <w:pPr>
              <w:rPr>
                <w:lang w:val="sl-SI"/>
              </w:rPr>
            </w:pPr>
            <w:r w:rsidRPr="0026070B">
              <w:rPr>
                <w:lang w:val="sl-SI"/>
              </w:rPr>
              <w:t>po implementaciji ukrepa, ki bodo še vedno prisotni</w:t>
            </w:r>
          </w:p>
        </w:tc>
        <w:tc>
          <w:tcPr>
            <w:tcW w:w="1091" w:type="pct"/>
            <w:tcBorders>
              <w:top w:val="single" w:sz="4" w:space="0" w:color="auto"/>
              <w:left w:val="single" w:sz="4" w:space="0" w:color="auto"/>
              <w:bottom w:val="single" w:sz="4" w:space="0" w:color="auto"/>
              <w:right w:val="single" w:sz="4" w:space="0" w:color="auto"/>
            </w:tcBorders>
            <w:hideMark/>
          </w:tcPr>
          <w:p w14:paraId="58956907" w14:textId="77777777" w:rsidR="0026070B" w:rsidRPr="0026070B" w:rsidRDefault="0026070B" w:rsidP="0026070B">
            <w:pPr>
              <w:rPr>
                <w:lang w:val="sl-SI"/>
              </w:rPr>
            </w:pPr>
            <w:r w:rsidRPr="0026070B">
              <w:rPr>
                <w:lang w:val="sl-SI"/>
              </w:rPr>
              <w:t>SKUPNI PRIHRANKI</w:t>
            </w:r>
          </w:p>
          <w:p w14:paraId="76EB072F" w14:textId="77777777" w:rsidR="0026070B" w:rsidRPr="0026070B" w:rsidRDefault="0026070B" w:rsidP="0026070B">
            <w:pPr>
              <w:rPr>
                <w:lang w:val="sl-SI"/>
              </w:rPr>
            </w:pPr>
            <w:r w:rsidRPr="0026070B">
              <w:rPr>
                <w:lang w:val="sl-SI"/>
              </w:rPr>
              <w:t>po implementaciji vseh tehničnih rešitev</w:t>
            </w:r>
          </w:p>
        </w:tc>
      </w:tr>
      <w:tr w:rsidR="0026070B" w:rsidRPr="0026070B" w14:paraId="7E60D8AF" w14:textId="77777777" w:rsidTr="0026070B">
        <w:trPr>
          <w:trHeight w:val="1209"/>
          <w:jc w:val="center"/>
        </w:trPr>
        <w:tc>
          <w:tcPr>
            <w:tcW w:w="2029" w:type="pct"/>
            <w:tcBorders>
              <w:top w:val="single" w:sz="4" w:space="0" w:color="auto"/>
              <w:left w:val="single" w:sz="4" w:space="0" w:color="auto"/>
              <w:bottom w:val="single" w:sz="4" w:space="0" w:color="auto"/>
              <w:right w:val="single" w:sz="4" w:space="0" w:color="auto"/>
            </w:tcBorders>
            <w:noWrap/>
            <w:vAlign w:val="center"/>
            <w:hideMark/>
          </w:tcPr>
          <w:p w14:paraId="047EAD19" w14:textId="77777777" w:rsidR="0026070B" w:rsidRPr="0026070B" w:rsidRDefault="0026070B" w:rsidP="0026070B">
            <w:pPr>
              <w:rPr>
                <w:lang w:val="sl-SI"/>
              </w:rPr>
            </w:pPr>
            <w:r w:rsidRPr="0026070B">
              <w:rPr>
                <w:lang w:val="sl-SI"/>
              </w:rPr>
              <w:t>Vpis spremljevalca v evidenčni karton vožnje</w:t>
            </w:r>
          </w:p>
        </w:tc>
        <w:tc>
          <w:tcPr>
            <w:tcW w:w="940" w:type="pct"/>
            <w:tcBorders>
              <w:top w:val="single" w:sz="4" w:space="0" w:color="auto"/>
              <w:left w:val="single" w:sz="4" w:space="0" w:color="auto"/>
              <w:bottom w:val="single" w:sz="4" w:space="0" w:color="auto"/>
              <w:right w:val="single" w:sz="4" w:space="0" w:color="auto"/>
            </w:tcBorders>
            <w:vAlign w:val="center"/>
            <w:hideMark/>
          </w:tcPr>
          <w:p w14:paraId="0AC338E7" w14:textId="77777777" w:rsidR="0026070B" w:rsidRPr="0026070B" w:rsidRDefault="0026070B" w:rsidP="0026070B">
            <w:pPr>
              <w:rPr>
                <w:lang w:val="sl-SI"/>
              </w:rPr>
            </w:pPr>
            <w:r w:rsidRPr="0026070B">
              <w:rPr>
                <w:lang w:val="sl-SI"/>
              </w:rPr>
              <w:t>1.108.693,51 EUR</w:t>
            </w:r>
          </w:p>
        </w:tc>
        <w:tc>
          <w:tcPr>
            <w:tcW w:w="940" w:type="pct"/>
            <w:tcBorders>
              <w:top w:val="single" w:sz="4" w:space="0" w:color="auto"/>
              <w:left w:val="single" w:sz="4" w:space="0" w:color="auto"/>
              <w:bottom w:val="single" w:sz="4" w:space="0" w:color="auto"/>
              <w:right w:val="single" w:sz="4" w:space="0" w:color="auto"/>
            </w:tcBorders>
            <w:vAlign w:val="center"/>
            <w:hideMark/>
          </w:tcPr>
          <w:p w14:paraId="7E6ABED2" w14:textId="77777777" w:rsidR="0026070B" w:rsidRPr="0026070B" w:rsidRDefault="0026070B" w:rsidP="0026070B">
            <w:pPr>
              <w:rPr>
                <w:lang w:val="sl-SI"/>
              </w:rPr>
            </w:pPr>
            <w:r w:rsidRPr="0026070B">
              <w:rPr>
                <w:lang w:val="sl-SI"/>
              </w:rPr>
              <w:t>947.049,84EUR</w:t>
            </w:r>
          </w:p>
        </w:tc>
        <w:tc>
          <w:tcPr>
            <w:tcW w:w="1091" w:type="pct"/>
            <w:tcBorders>
              <w:top w:val="single" w:sz="4" w:space="0" w:color="auto"/>
              <w:left w:val="single" w:sz="4" w:space="0" w:color="auto"/>
              <w:bottom w:val="single" w:sz="4" w:space="0" w:color="auto"/>
              <w:right w:val="single" w:sz="4" w:space="0" w:color="auto"/>
            </w:tcBorders>
            <w:vAlign w:val="center"/>
          </w:tcPr>
          <w:p w14:paraId="60277460" w14:textId="77777777" w:rsidR="0026070B" w:rsidRPr="0026070B" w:rsidRDefault="0026070B" w:rsidP="0026070B">
            <w:pPr>
              <w:rPr>
                <w:b/>
                <w:bCs/>
                <w:lang w:val="sl-SI"/>
              </w:rPr>
            </w:pPr>
          </w:p>
          <w:p w14:paraId="64A86AE7" w14:textId="77777777" w:rsidR="0026070B" w:rsidRPr="0026070B" w:rsidRDefault="0026070B" w:rsidP="0026070B">
            <w:pPr>
              <w:rPr>
                <w:b/>
                <w:bCs/>
                <w:lang w:val="sl-SI"/>
              </w:rPr>
            </w:pPr>
            <w:r w:rsidRPr="0026070B">
              <w:rPr>
                <w:b/>
                <w:bCs/>
                <w:lang w:val="sl-SI"/>
              </w:rPr>
              <w:t>161.643,67</w:t>
            </w:r>
            <w:r w:rsidRPr="0026070B">
              <w:rPr>
                <w:b/>
                <w:bCs/>
                <w:i/>
                <w:iCs/>
                <w:lang w:val="sl-SI"/>
              </w:rPr>
              <w:t xml:space="preserve"> EUR </w:t>
            </w:r>
          </w:p>
          <w:p w14:paraId="2C1A0C91" w14:textId="77777777" w:rsidR="0026070B" w:rsidRPr="0026070B" w:rsidRDefault="0026070B" w:rsidP="0026070B">
            <w:pPr>
              <w:rPr>
                <w:b/>
                <w:bCs/>
                <w:lang w:val="sl-SI"/>
              </w:rPr>
            </w:pPr>
          </w:p>
        </w:tc>
      </w:tr>
      <w:tr w:rsidR="0026070B" w:rsidRPr="0026070B" w14:paraId="07831406" w14:textId="77777777" w:rsidTr="0026070B">
        <w:trPr>
          <w:trHeight w:val="1209"/>
          <w:jc w:val="center"/>
        </w:trPr>
        <w:tc>
          <w:tcPr>
            <w:tcW w:w="2029" w:type="pct"/>
            <w:tcBorders>
              <w:top w:val="single" w:sz="4" w:space="0" w:color="auto"/>
              <w:left w:val="single" w:sz="4" w:space="0" w:color="auto"/>
              <w:bottom w:val="single" w:sz="4" w:space="0" w:color="auto"/>
              <w:right w:val="single" w:sz="4" w:space="0" w:color="auto"/>
            </w:tcBorders>
            <w:noWrap/>
            <w:vAlign w:val="center"/>
            <w:hideMark/>
          </w:tcPr>
          <w:p w14:paraId="6465B2C0" w14:textId="77777777" w:rsidR="0026070B" w:rsidRPr="0026070B" w:rsidRDefault="0026070B" w:rsidP="0026070B">
            <w:pPr>
              <w:rPr>
                <w:lang w:val="sl-SI"/>
              </w:rPr>
            </w:pPr>
            <w:r w:rsidRPr="0026070B">
              <w:rPr>
                <w:lang w:val="sl-SI"/>
              </w:rPr>
              <w:t>Sprejem v državljanstvo</w:t>
            </w:r>
          </w:p>
        </w:tc>
        <w:tc>
          <w:tcPr>
            <w:tcW w:w="940" w:type="pct"/>
            <w:tcBorders>
              <w:top w:val="single" w:sz="4" w:space="0" w:color="auto"/>
              <w:left w:val="single" w:sz="4" w:space="0" w:color="auto"/>
              <w:bottom w:val="single" w:sz="4" w:space="0" w:color="auto"/>
              <w:right w:val="single" w:sz="4" w:space="0" w:color="auto"/>
            </w:tcBorders>
            <w:vAlign w:val="center"/>
            <w:hideMark/>
          </w:tcPr>
          <w:p w14:paraId="2C874F49" w14:textId="77777777" w:rsidR="0026070B" w:rsidRPr="0026070B" w:rsidRDefault="0026070B" w:rsidP="0026070B">
            <w:pPr>
              <w:rPr>
                <w:lang w:val="sl-SI"/>
              </w:rPr>
            </w:pPr>
            <w:r w:rsidRPr="0026070B">
              <w:rPr>
                <w:lang w:val="sl-SI"/>
              </w:rPr>
              <w:t>45.015,15 EUR</w:t>
            </w:r>
          </w:p>
        </w:tc>
        <w:tc>
          <w:tcPr>
            <w:tcW w:w="940" w:type="pct"/>
            <w:tcBorders>
              <w:top w:val="single" w:sz="4" w:space="0" w:color="auto"/>
              <w:left w:val="single" w:sz="4" w:space="0" w:color="auto"/>
              <w:bottom w:val="single" w:sz="4" w:space="0" w:color="auto"/>
              <w:right w:val="single" w:sz="4" w:space="0" w:color="auto"/>
            </w:tcBorders>
            <w:vAlign w:val="center"/>
            <w:hideMark/>
          </w:tcPr>
          <w:p w14:paraId="5DF96DB2" w14:textId="77777777" w:rsidR="0026070B" w:rsidRPr="0026070B" w:rsidRDefault="0026070B" w:rsidP="0026070B">
            <w:pPr>
              <w:rPr>
                <w:lang w:val="sl-SI"/>
              </w:rPr>
            </w:pPr>
            <w:r w:rsidRPr="0026070B">
              <w:rPr>
                <w:lang w:val="sl-SI"/>
              </w:rPr>
              <w:t>30.677,08 EUR</w:t>
            </w:r>
          </w:p>
        </w:tc>
        <w:tc>
          <w:tcPr>
            <w:tcW w:w="1091" w:type="pct"/>
            <w:tcBorders>
              <w:top w:val="single" w:sz="4" w:space="0" w:color="auto"/>
              <w:left w:val="single" w:sz="4" w:space="0" w:color="auto"/>
              <w:bottom w:val="single" w:sz="4" w:space="0" w:color="auto"/>
              <w:right w:val="single" w:sz="4" w:space="0" w:color="auto"/>
            </w:tcBorders>
            <w:vAlign w:val="center"/>
          </w:tcPr>
          <w:p w14:paraId="44F23F1F" w14:textId="77777777" w:rsidR="0026070B" w:rsidRPr="0026070B" w:rsidRDefault="0026070B" w:rsidP="0026070B">
            <w:pPr>
              <w:rPr>
                <w:b/>
                <w:bCs/>
                <w:lang w:val="sl-SI"/>
              </w:rPr>
            </w:pPr>
          </w:p>
          <w:p w14:paraId="1C6C72F6" w14:textId="77777777" w:rsidR="0026070B" w:rsidRPr="0026070B" w:rsidRDefault="0026070B" w:rsidP="0026070B">
            <w:pPr>
              <w:rPr>
                <w:b/>
                <w:bCs/>
                <w:lang w:val="sl-SI"/>
              </w:rPr>
            </w:pPr>
            <w:r w:rsidRPr="0026070B">
              <w:rPr>
                <w:b/>
                <w:bCs/>
                <w:lang w:val="sl-SI"/>
              </w:rPr>
              <w:t>14.338,07</w:t>
            </w:r>
            <w:r w:rsidRPr="0026070B">
              <w:rPr>
                <w:b/>
                <w:bCs/>
                <w:i/>
                <w:iCs/>
                <w:lang w:val="sl-SI"/>
              </w:rPr>
              <w:t xml:space="preserve"> EUR </w:t>
            </w:r>
          </w:p>
        </w:tc>
      </w:tr>
      <w:tr w:rsidR="0026070B" w:rsidRPr="0026070B" w14:paraId="6BAA5F49" w14:textId="77777777" w:rsidTr="0026070B">
        <w:trPr>
          <w:trHeight w:val="1209"/>
          <w:jc w:val="center"/>
        </w:trPr>
        <w:tc>
          <w:tcPr>
            <w:tcW w:w="2029" w:type="pct"/>
            <w:tcBorders>
              <w:top w:val="single" w:sz="4" w:space="0" w:color="auto"/>
              <w:left w:val="single" w:sz="4" w:space="0" w:color="auto"/>
              <w:bottom w:val="single" w:sz="4" w:space="0" w:color="auto"/>
              <w:right w:val="single" w:sz="4" w:space="0" w:color="auto"/>
            </w:tcBorders>
            <w:noWrap/>
            <w:vAlign w:val="center"/>
            <w:hideMark/>
          </w:tcPr>
          <w:p w14:paraId="4AA3D6B0" w14:textId="77777777" w:rsidR="0026070B" w:rsidRPr="0026070B" w:rsidRDefault="0026070B" w:rsidP="0026070B">
            <w:pPr>
              <w:rPr>
                <w:lang w:val="sl-SI"/>
              </w:rPr>
            </w:pPr>
            <w:r w:rsidRPr="0026070B">
              <w:rPr>
                <w:lang w:val="sl-SI"/>
              </w:rPr>
              <w:t>Pridobitev dovoljena za prebivanje tujca</w:t>
            </w:r>
          </w:p>
        </w:tc>
        <w:tc>
          <w:tcPr>
            <w:tcW w:w="940" w:type="pct"/>
            <w:tcBorders>
              <w:top w:val="single" w:sz="4" w:space="0" w:color="auto"/>
              <w:left w:val="single" w:sz="4" w:space="0" w:color="auto"/>
              <w:bottom w:val="single" w:sz="4" w:space="0" w:color="auto"/>
              <w:right w:val="single" w:sz="4" w:space="0" w:color="auto"/>
            </w:tcBorders>
            <w:vAlign w:val="center"/>
            <w:hideMark/>
          </w:tcPr>
          <w:p w14:paraId="0A6FF3BC" w14:textId="77777777" w:rsidR="0026070B" w:rsidRPr="0026070B" w:rsidRDefault="0026070B" w:rsidP="0026070B">
            <w:pPr>
              <w:rPr>
                <w:lang w:val="sl-SI"/>
              </w:rPr>
            </w:pPr>
            <w:r w:rsidRPr="0026070B">
              <w:rPr>
                <w:lang w:val="sl-SI"/>
              </w:rPr>
              <w:t>4.105.268,15 EUR</w:t>
            </w:r>
          </w:p>
        </w:tc>
        <w:tc>
          <w:tcPr>
            <w:tcW w:w="940" w:type="pct"/>
            <w:tcBorders>
              <w:top w:val="single" w:sz="4" w:space="0" w:color="auto"/>
              <w:left w:val="single" w:sz="4" w:space="0" w:color="auto"/>
              <w:bottom w:val="single" w:sz="4" w:space="0" w:color="auto"/>
              <w:right w:val="single" w:sz="4" w:space="0" w:color="auto"/>
            </w:tcBorders>
            <w:vAlign w:val="center"/>
            <w:hideMark/>
          </w:tcPr>
          <w:p w14:paraId="03E625F4" w14:textId="77777777" w:rsidR="0026070B" w:rsidRPr="0026070B" w:rsidRDefault="0026070B" w:rsidP="0026070B">
            <w:pPr>
              <w:rPr>
                <w:lang w:val="sl-SI"/>
              </w:rPr>
            </w:pPr>
            <w:r w:rsidRPr="0026070B">
              <w:rPr>
                <w:lang w:val="sl-SI"/>
              </w:rPr>
              <w:t>3.445.382,93 EUR</w:t>
            </w:r>
          </w:p>
        </w:tc>
        <w:tc>
          <w:tcPr>
            <w:tcW w:w="1091" w:type="pct"/>
            <w:tcBorders>
              <w:top w:val="single" w:sz="4" w:space="0" w:color="auto"/>
              <w:left w:val="single" w:sz="4" w:space="0" w:color="auto"/>
              <w:bottom w:val="single" w:sz="4" w:space="0" w:color="auto"/>
              <w:right w:val="single" w:sz="4" w:space="0" w:color="auto"/>
            </w:tcBorders>
            <w:vAlign w:val="center"/>
          </w:tcPr>
          <w:p w14:paraId="2F4AAD07" w14:textId="77777777" w:rsidR="0026070B" w:rsidRPr="0026070B" w:rsidRDefault="0026070B" w:rsidP="0026070B">
            <w:pPr>
              <w:rPr>
                <w:b/>
                <w:bCs/>
                <w:lang w:val="sl-SI"/>
              </w:rPr>
            </w:pPr>
          </w:p>
          <w:p w14:paraId="5EDC9F89" w14:textId="77777777" w:rsidR="0026070B" w:rsidRPr="0026070B" w:rsidRDefault="0026070B" w:rsidP="0026070B">
            <w:pPr>
              <w:rPr>
                <w:b/>
                <w:bCs/>
                <w:lang w:val="sl-SI"/>
              </w:rPr>
            </w:pPr>
            <w:r w:rsidRPr="0026070B">
              <w:rPr>
                <w:b/>
                <w:bCs/>
                <w:lang w:val="sl-SI"/>
              </w:rPr>
              <w:t>659.885,22</w:t>
            </w:r>
            <w:r w:rsidRPr="0026070B">
              <w:rPr>
                <w:b/>
                <w:bCs/>
                <w:i/>
                <w:iCs/>
                <w:lang w:val="sl-SI"/>
              </w:rPr>
              <w:t xml:space="preserve"> EUR </w:t>
            </w:r>
          </w:p>
          <w:p w14:paraId="50E13B3C" w14:textId="77777777" w:rsidR="0026070B" w:rsidRPr="0026070B" w:rsidRDefault="0026070B" w:rsidP="0026070B">
            <w:pPr>
              <w:rPr>
                <w:b/>
                <w:bCs/>
                <w:lang w:val="sl-SI"/>
              </w:rPr>
            </w:pPr>
          </w:p>
        </w:tc>
      </w:tr>
      <w:tr w:rsidR="0026070B" w:rsidRPr="0026070B" w14:paraId="5B43F2A2" w14:textId="77777777" w:rsidTr="0026070B">
        <w:trPr>
          <w:trHeight w:val="1038"/>
          <w:jc w:val="center"/>
        </w:trPr>
        <w:tc>
          <w:tcPr>
            <w:tcW w:w="2029" w:type="pct"/>
            <w:tcBorders>
              <w:top w:val="single" w:sz="4" w:space="0" w:color="auto"/>
              <w:left w:val="single" w:sz="4" w:space="0" w:color="auto"/>
              <w:bottom w:val="single" w:sz="4" w:space="0" w:color="auto"/>
              <w:right w:val="single" w:sz="4" w:space="0" w:color="auto"/>
            </w:tcBorders>
            <w:noWrap/>
            <w:vAlign w:val="center"/>
            <w:hideMark/>
          </w:tcPr>
          <w:p w14:paraId="02166258" w14:textId="77777777" w:rsidR="0026070B" w:rsidRPr="0026070B" w:rsidRDefault="0026070B" w:rsidP="0026070B">
            <w:pPr>
              <w:rPr>
                <w:lang w:val="sl-SI"/>
              </w:rPr>
            </w:pPr>
            <w:r w:rsidRPr="0026070B">
              <w:rPr>
                <w:lang w:val="sl-SI"/>
              </w:rPr>
              <w:t>Pridobitev dovoljena za nabavo orožja oz. orožne listine</w:t>
            </w:r>
          </w:p>
        </w:tc>
        <w:tc>
          <w:tcPr>
            <w:tcW w:w="940" w:type="pct"/>
            <w:tcBorders>
              <w:top w:val="single" w:sz="4" w:space="0" w:color="auto"/>
              <w:left w:val="single" w:sz="4" w:space="0" w:color="auto"/>
              <w:bottom w:val="single" w:sz="4" w:space="0" w:color="auto"/>
              <w:right w:val="single" w:sz="4" w:space="0" w:color="auto"/>
            </w:tcBorders>
            <w:vAlign w:val="center"/>
            <w:hideMark/>
          </w:tcPr>
          <w:p w14:paraId="2FC76FF5" w14:textId="77777777" w:rsidR="0026070B" w:rsidRPr="0026070B" w:rsidRDefault="0026070B" w:rsidP="0026070B">
            <w:pPr>
              <w:rPr>
                <w:lang w:val="sl-SI"/>
              </w:rPr>
            </w:pPr>
            <w:r w:rsidRPr="0026070B">
              <w:rPr>
                <w:lang w:val="sl-SI"/>
              </w:rPr>
              <w:t>265.420,87 EUR</w:t>
            </w:r>
          </w:p>
        </w:tc>
        <w:tc>
          <w:tcPr>
            <w:tcW w:w="940" w:type="pct"/>
            <w:tcBorders>
              <w:top w:val="single" w:sz="4" w:space="0" w:color="auto"/>
              <w:left w:val="single" w:sz="4" w:space="0" w:color="auto"/>
              <w:bottom w:val="single" w:sz="4" w:space="0" w:color="auto"/>
              <w:right w:val="single" w:sz="4" w:space="0" w:color="auto"/>
            </w:tcBorders>
            <w:vAlign w:val="center"/>
            <w:hideMark/>
          </w:tcPr>
          <w:p w14:paraId="111EE75F" w14:textId="77777777" w:rsidR="0026070B" w:rsidRPr="0026070B" w:rsidRDefault="0026070B" w:rsidP="0026070B">
            <w:pPr>
              <w:rPr>
                <w:lang w:val="sl-SI"/>
              </w:rPr>
            </w:pPr>
            <w:r w:rsidRPr="0026070B">
              <w:rPr>
                <w:lang w:val="sl-SI"/>
              </w:rPr>
              <w:t>213.979,64 EUR</w:t>
            </w:r>
          </w:p>
        </w:tc>
        <w:tc>
          <w:tcPr>
            <w:tcW w:w="1091" w:type="pct"/>
            <w:tcBorders>
              <w:top w:val="single" w:sz="4" w:space="0" w:color="auto"/>
              <w:left w:val="single" w:sz="4" w:space="0" w:color="auto"/>
              <w:bottom w:val="single" w:sz="4" w:space="0" w:color="auto"/>
              <w:right w:val="single" w:sz="4" w:space="0" w:color="auto"/>
            </w:tcBorders>
            <w:vAlign w:val="center"/>
          </w:tcPr>
          <w:p w14:paraId="699ED810" w14:textId="77777777" w:rsidR="0026070B" w:rsidRPr="0026070B" w:rsidRDefault="0026070B" w:rsidP="0026070B">
            <w:pPr>
              <w:rPr>
                <w:b/>
                <w:bCs/>
                <w:lang w:val="sl-SI"/>
              </w:rPr>
            </w:pPr>
          </w:p>
          <w:p w14:paraId="0DD3D2A1" w14:textId="77777777" w:rsidR="0026070B" w:rsidRPr="0026070B" w:rsidRDefault="0026070B" w:rsidP="0026070B">
            <w:pPr>
              <w:rPr>
                <w:b/>
                <w:bCs/>
                <w:lang w:val="sl-SI"/>
              </w:rPr>
            </w:pPr>
            <w:r w:rsidRPr="0026070B">
              <w:rPr>
                <w:b/>
                <w:bCs/>
                <w:lang w:val="sl-SI"/>
              </w:rPr>
              <w:t>51.441,23</w:t>
            </w:r>
            <w:r w:rsidRPr="0026070B">
              <w:rPr>
                <w:b/>
                <w:bCs/>
                <w:i/>
                <w:iCs/>
                <w:lang w:val="sl-SI"/>
              </w:rPr>
              <w:t xml:space="preserve"> EUR </w:t>
            </w:r>
          </w:p>
          <w:p w14:paraId="124424C9" w14:textId="77777777" w:rsidR="0026070B" w:rsidRPr="0026070B" w:rsidRDefault="0026070B" w:rsidP="0026070B">
            <w:pPr>
              <w:rPr>
                <w:b/>
                <w:bCs/>
                <w:lang w:val="sl-SI"/>
              </w:rPr>
            </w:pPr>
          </w:p>
        </w:tc>
      </w:tr>
      <w:tr w:rsidR="0026070B" w:rsidRPr="0026070B" w14:paraId="7285F36B" w14:textId="77777777" w:rsidTr="0026070B">
        <w:trPr>
          <w:trHeight w:val="105"/>
          <w:jc w:val="center"/>
        </w:trPr>
        <w:tc>
          <w:tcPr>
            <w:tcW w:w="2029" w:type="pct"/>
            <w:tcBorders>
              <w:top w:val="single" w:sz="4" w:space="0" w:color="auto"/>
              <w:left w:val="single" w:sz="4" w:space="0" w:color="auto"/>
              <w:bottom w:val="single" w:sz="4" w:space="0" w:color="auto"/>
              <w:right w:val="single" w:sz="4" w:space="0" w:color="auto"/>
            </w:tcBorders>
            <w:vAlign w:val="center"/>
            <w:hideMark/>
          </w:tcPr>
          <w:p w14:paraId="58C012DB" w14:textId="77777777" w:rsidR="0026070B" w:rsidRPr="0026070B" w:rsidRDefault="0026070B" w:rsidP="0026070B">
            <w:pPr>
              <w:rPr>
                <w:b/>
                <w:lang w:val="sl-SI"/>
              </w:rPr>
            </w:pPr>
            <w:r w:rsidRPr="0026070B">
              <w:rPr>
                <w:b/>
                <w:lang w:val="sl-SI"/>
              </w:rPr>
              <w:t>S</w:t>
            </w:r>
            <w:r w:rsidRPr="0026070B">
              <w:rPr>
                <w:b/>
                <w:i/>
                <w:iCs/>
                <w:lang w:val="sl-SI"/>
              </w:rPr>
              <w:t>KUPAJ</w:t>
            </w:r>
          </w:p>
        </w:tc>
        <w:tc>
          <w:tcPr>
            <w:tcW w:w="940" w:type="pct"/>
            <w:tcBorders>
              <w:top w:val="single" w:sz="4" w:space="0" w:color="auto"/>
              <w:left w:val="single" w:sz="4" w:space="0" w:color="auto"/>
              <w:bottom w:val="single" w:sz="4" w:space="0" w:color="auto"/>
              <w:right w:val="single" w:sz="4" w:space="0" w:color="auto"/>
            </w:tcBorders>
            <w:vAlign w:val="center"/>
          </w:tcPr>
          <w:p w14:paraId="5BA04BE0" w14:textId="77777777" w:rsidR="0026070B" w:rsidRPr="0026070B" w:rsidRDefault="0026070B" w:rsidP="0026070B">
            <w:pPr>
              <w:rPr>
                <w:b/>
                <w:lang w:val="sl-SI"/>
              </w:rPr>
            </w:pPr>
          </w:p>
        </w:tc>
        <w:tc>
          <w:tcPr>
            <w:tcW w:w="940" w:type="pct"/>
            <w:tcBorders>
              <w:top w:val="single" w:sz="4" w:space="0" w:color="auto"/>
              <w:left w:val="single" w:sz="4" w:space="0" w:color="auto"/>
              <w:bottom w:val="single" w:sz="4" w:space="0" w:color="auto"/>
              <w:right w:val="single" w:sz="4" w:space="0" w:color="auto"/>
            </w:tcBorders>
            <w:vAlign w:val="center"/>
          </w:tcPr>
          <w:p w14:paraId="2F8BB4EE" w14:textId="77777777" w:rsidR="0026070B" w:rsidRPr="0026070B" w:rsidRDefault="0026070B" w:rsidP="0026070B">
            <w:pPr>
              <w:rPr>
                <w:b/>
                <w:lang w:val="sl-SI"/>
              </w:rPr>
            </w:pPr>
          </w:p>
        </w:tc>
        <w:tc>
          <w:tcPr>
            <w:tcW w:w="1091" w:type="pct"/>
            <w:tcBorders>
              <w:top w:val="single" w:sz="4" w:space="0" w:color="auto"/>
              <w:left w:val="single" w:sz="4" w:space="0" w:color="auto"/>
              <w:bottom w:val="single" w:sz="4" w:space="0" w:color="auto"/>
              <w:right w:val="single" w:sz="4" w:space="0" w:color="auto"/>
            </w:tcBorders>
            <w:vAlign w:val="center"/>
            <w:hideMark/>
          </w:tcPr>
          <w:p w14:paraId="1DA8DF29" w14:textId="77777777" w:rsidR="0026070B" w:rsidRPr="0026070B" w:rsidRDefault="0026070B" w:rsidP="0026070B">
            <w:pPr>
              <w:rPr>
                <w:b/>
                <w:bCs/>
                <w:lang w:val="sl-SI"/>
              </w:rPr>
            </w:pPr>
            <w:r w:rsidRPr="0026070B">
              <w:rPr>
                <w:b/>
                <w:bCs/>
                <w:lang w:val="sl-SI"/>
              </w:rPr>
              <w:t>887.308,19 EUR</w:t>
            </w:r>
          </w:p>
        </w:tc>
      </w:tr>
    </w:tbl>
    <w:p w14:paraId="05E08096" w14:textId="77777777" w:rsidR="00605A65" w:rsidRDefault="00605A65" w:rsidP="001765E8">
      <w:pPr>
        <w:rPr>
          <w:lang w:val="sl-SI"/>
        </w:rPr>
      </w:pPr>
    </w:p>
    <w:p w14:paraId="57EF5C00" w14:textId="77777777" w:rsidR="001765E8" w:rsidRPr="00E93751" w:rsidRDefault="001765E8" w:rsidP="001765E8">
      <w:pPr>
        <w:rPr>
          <w:b/>
          <w:bCs/>
          <w:lang w:val="sl-SI"/>
        </w:rPr>
      </w:pPr>
      <w:r w:rsidRPr="00E93751">
        <w:rPr>
          <w:b/>
          <w:bCs/>
          <w:lang w:val="sl-SI"/>
        </w:rPr>
        <w:t xml:space="preserve">Opis v ozadju: </w:t>
      </w:r>
    </w:p>
    <w:p w14:paraId="17D7EA82" w14:textId="77777777" w:rsidR="00191B32" w:rsidRPr="00191B32" w:rsidRDefault="00191B32" w:rsidP="00191B32">
      <w:pPr>
        <w:spacing w:before="0" w:after="0"/>
        <w:jc w:val="both"/>
        <w:rPr>
          <w:lang w:val="sl-SI"/>
        </w:rPr>
      </w:pPr>
      <w:r w:rsidRPr="00191B32">
        <w:rPr>
          <w:lang w:val="sl-SI"/>
        </w:rPr>
        <w:t>Tabela prikazuje štiri postopke:</w:t>
      </w:r>
    </w:p>
    <w:p w14:paraId="514C4DB3" w14:textId="77777777" w:rsidR="00191B32" w:rsidRPr="00191B32" w:rsidRDefault="00191B32" w:rsidP="00191B32">
      <w:pPr>
        <w:numPr>
          <w:ilvl w:val="0"/>
          <w:numId w:val="23"/>
        </w:numPr>
        <w:spacing w:before="0" w:after="0"/>
        <w:jc w:val="both"/>
        <w:rPr>
          <w:lang w:val="sl-SI"/>
        </w:rPr>
      </w:pPr>
      <w:r w:rsidRPr="00191B32">
        <w:rPr>
          <w:lang w:val="sl-SI"/>
        </w:rPr>
        <w:t>vpis spremljevalca v evidenčni karton vožnje,</w:t>
      </w:r>
    </w:p>
    <w:p w14:paraId="774DA903" w14:textId="77777777" w:rsidR="00191B32" w:rsidRPr="00191B32" w:rsidRDefault="00191B32" w:rsidP="00191B32">
      <w:pPr>
        <w:numPr>
          <w:ilvl w:val="0"/>
          <w:numId w:val="23"/>
        </w:numPr>
        <w:spacing w:before="0" w:after="0"/>
        <w:jc w:val="both"/>
        <w:rPr>
          <w:lang w:val="sl-SI"/>
        </w:rPr>
      </w:pPr>
      <w:r w:rsidRPr="00191B32">
        <w:rPr>
          <w:lang w:val="sl-SI"/>
        </w:rPr>
        <w:t>sprejem v državljanstvo,</w:t>
      </w:r>
    </w:p>
    <w:p w14:paraId="7959C1E3" w14:textId="77777777" w:rsidR="00191B32" w:rsidRPr="00191B32" w:rsidRDefault="00191B32" w:rsidP="00191B32">
      <w:pPr>
        <w:numPr>
          <w:ilvl w:val="0"/>
          <w:numId w:val="23"/>
        </w:numPr>
        <w:spacing w:before="0" w:after="0"/>
        <w:jc w:val="both"/>
        <w:rPr>
          <w:lang w:val="sl-SI"/>
        </w:rPr>
      </w:pPr>
      <w:r w:rsidRPr="00191B32">
        <w:rPr>
          <w:lang w:val="sl-SI"/>
        </w:rPr>
        <w:t>pridobitev dovoljenja za prebivanje tujca ter</w:t>
      </w:r>
    </w:p>
    <w:p w14:paraId="03700D97" w14:textId="77777777" w:rsidR="00191B32" w:rsidRPr="00191B32" w:rsidRDefault="00191B32" w:rsidP="00191B32">
      <w:pPr>
        <w:numPr>
          <w:ilvl w:val="0"/>
          <w:numId w:val="23"/>
        </w:numPr>
        <w:spacing w:before="0" w:after="0"/>
        <w:jc w:val="both"/>
        <w:rPr>
          <w:lang w:val="sl-SI"/>
        </w:rPr>
      </w:pPr>
      <w:r w:rsidRPr="00191B32">
        <w:rPr>
          <w:lang w:val="sl-SI"/>
        </w:rPr>
        <w:t>pridobitev dovoljenja za nabavo orožja oziroma orožne listine.</w:t>
      </w:r>
    </w:p>
    <w:p w14:paraId="7CC61186" w14:textId="742F8702" w:rsidR="00191B32" w:rsidRPr="00191B32" w:rsidRDefault="00191B32" w:rsidP="00191B32">
      <w:pPr>
        <w:jc w:val="both"/>
        <w:rPr>
          <w:lang w:val="sl-SI"/>
        </w:rPr>
      </w:pPr>
      <w:r w:rsidRPr="00191B32">
        <w:rPr>
          <w:lang w:val="sl-SI"/>
        </w:rPr>
        <w:t xml:space="preserve">Administrativni stroški pred uvedbo elektronskega vpogleda v Evidenco kazenskih točk (EKT) in Evidenco </w:t>
      </w:r>
      <w:proofErr w:type="spellStart"/>
      <w:r w:rsidRPr="00191B32">
        <w:rPr>
          <w:lang w:val="sl-SI"/>
        </w:rPr>
        <w:t>prekrškovnih</w:t>
      </w:r>
      <w:proofErr w:type="spellEnd"/>
      <w:r w:rsidRPr="00191B32">
        <w:rPr>
          <w:lang w:val="sl-SI"/>
        </w:rPr>
        <w:t xml:space="preserve"> sodb so pri postopku vpisa spremljevalca v evidenčni karton vožnje znašali 1.108.693,51 EUR, po uvedbi elektronskega vpogleda pa 947.049,84 EUR. Prihranek na letni ravni je znašal 161.643,67 EUR, kar predstavlja dobrih 14 % zmanjšanje stroškov na letni ravni.</w:t>
      </w:r>
    </w:p>
    <w:p w14:paraId="559B404F" w14:textId="77777777" w:rsidR="00191B32" w:rsidRPr="00191B32" w:rsidRDefault="00191B32" w:rsidP="00191B32">
      <w:pPr>
        <w:jc w:val="both"/>
        <w:rPr>
          <w:lang w:val="sl-SI"/>
        </w:rPr>
      </w:pPr>
      <w:r w:rsidRPr="00191B32">
        <w:rPr>
          <w:lang w:val="sl-SI"/>
        </w:rPr>
        <w:lastRenderedPageBreak/>
        <w:t>Pri postopku sprejema v državljanstvo so administrativni stroški pred uvedbo elektronskega vpogleda znašali 45.015,15 EUR, po uvedbi pa 30.677,08 EUR. Letni prihranek je znašal 14.338,07 EUR, kar predstavlja 18 % zmanjšanje stroškov na letni ravni.</w:t>
      </w:r>
    </w:p>
    <w:p w14:paraId="3FFEEFA4" w14:textId="6C22B996" w:rsidR="00191B32" w:rsidRPr="00191B32" w:rsidRDefault="00191B32" w:rsidP="00191B32">
      <w:pPr>
        <w:jc w:val="both"/>
        <w:rPr>
          <w:lang w:val="sl-SI"/>
        </w:rPr>
      </w:pPr>
      <w:r w:rsidRPr="00191B32">
        <w:rPr>
          <w:lang w:val="sl-SI"/>
        </w:rPr>
        <w:t>Pri postopku pridobitve dovoljenja za prebivanje tujca so administrativni stroški pred uvedbo elektronskega vpogleda znašali 4.105.268,15 EUR, po uvedbi pa 3.445.382,93 EUR. Letni prihranek je znašal 659.885,22 EUR, kar predstavlja 16 % zmanjšanje stroškov na letni ravni.</w:t>
      </w:r>
    </w:p>
    <w:p w14:paraId="323C315C" w14:textId="4ABFFFB1" w:rsidR="00191B32" w:rsidRPr="000A032D" w:rsidRDefault="00191B32" w:rsidP="00191B32">
      <w:pPr>
        <w:jc w:val="both"/>
        <w:rPr>
          <w:lang w:val="sl-SI"/>
        </w:rPr>
      </w:pPr>
      <w:r w:rsidRPr="00191B32">
        <w:rPr>
          <w:lang w:val="sl-SI"/>
        </w:rPr>
        <w:t xml:space="preserve">Pri postopku pridobitve dovoljenja za nabavo orožja oziroma orožne listine so administrativni stroški pred </w:t>
      </w:r>
      <w:r w:rsidRPr="000A032D">
        <w:rPr>
          <w:lang w:val="sl-SI"/>
        </w:rPr>
        <w:t>uvedbo elektronskega vpogleda znašali 265.420,87 EUR, po uvedbi pa 213.979,64 EUR. Letni prihranek je znašal 51.441,23 EUR, kar predstavlja 19 % zmanjšanje stroškov na letni ravni.</w:t>
      </w:r>
    </w:p>
    <w:p w14:paraId="4A3E548A" w14:textId="77777777" w:rsidR="00191B32" w:rsidRPr="00191B32" w:rsidRDefault="00191B32" w:rsidP="00191B32">
      <w:pPr>
        <w:jc w:val="both"/>
        <w:rPr>
          <w:lang w:val="sl-SI"/>
        </w:rPr>
      </w:pPr>
      <w:r w:rsidRPr="000A032D">
        <w:rPr>
          <w:lang w:val="sl-SI"/>
        </w:rPr>
        <w:t>Skupni letni prihranki pri elektronskem vpogledu so znašali 887.308,19 EUR.</w:t>
      </w:r>
    </w:p>
    <w:p w14:paraId="7ADFA5E2" w14:textId="77777777" w:rsidR="001765E8" w:rsidRPr="00697D3B" w:rsidRDefault="001765E8" w:rsidP="00E93751">
      <w:pPr>
        <w:rPr>
          <w:lang w:val="sl-SI"/>
        </w:rPr>
      </w:pPr>
    </w:p>
    <w:sectPr w:rsidR="001765E8"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ABED2" w14:textId="77777777" w:rsidR="00E86B03" w:rsidRDefault="00E86B03" w:rsidP="00AD3F42">
      <w:pPr>
        <w:spacing w:before="0" w:after="0" w:line="240" w:lineRule="auto"/>
      </w:pPr>
      <w:r>
        <w:separator/>
      </w:r>
    </w:p>
  </w:endnote>
  <w:endnote w:type="continuationSeparator" w:id="0">
    <w:p w14:paraId="3AD33E3F" w14:textId="77777777" w:rsidR="00E86B03" w:rsidRDefault="00E86B03"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340F" w14:textId="77777777" w:rsidR="00E86B03" w:rsidRDefault="00E86B03" w:rsidP="00AD3F42">
      <w:pPr>
        <w:spacing w:before="0" w:after="0" w:line="240" w:lineRule="auto"/>
      </w:pPr>
      <w:r>
        <w:separator/>
      </w:r>
    </w:p>
  </w:footnote>
  <w:footnote w:type="continuationSeparator" w:id="0">
    <w:p w14:paraId="6F2ECE56" w14:textId="77777777" w:rsidR="00E86B03" w:rsidRDefault="00E86B03"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6661B3"/>
    <w:multiLevelType w:val="hybridMultilevel"/>
    <w:tmpl w:val="CCAEE1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03F7204"/>
    <w:multiLevelType w:val="multilevel"/>
    <w:tmpl w:val="C330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24FC"/>
    <w:multiLevelType w:val="multilevel"/>
    <w:tmpl w:val="2F2C03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9615C8"/>
    <w:multiLevelType w:val="multilevel"/>
    <w:tmpl w:val="8AA4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54BB3"/>
    <w:multiLevelType w:val="multilevel"/>
    <w:tmpl w:val="B77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20782"/>
    <w:multiLevelType w:val="multilevel"/>
    <w:tmpl w:val="619C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00B5414"/>
    <w:multiLevelType w:val="multilevel"/>
    <w:tmpl w:val="98DA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B8472E"/>
    <w:multiLevelType w:val="hybridMultilevel"/>
    <w:tmpl w:val="06B0EB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DF34CA"/>
    <w:multiLevelType w:val="hybridMultilevel"/>
    <w:tmpl w:val="BA54CB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7045E45"/>
    <w:multiLevelType w:val="multilevel"/>
    <w:tmpl w:val="88C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14030B"/>
    <w:multiLevelType w:val="multilevel"/>
    <w:tmpl w:val="C130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B6C80"/>
    <w:multiLevelType w:val="multilevel"/>
    <w:tmpl w:val="7532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E4A94"/>
    <w:multiLevelType w:val="multilevel"/>
    <w:tmpl w:val="B240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6B3B11"/>
    <w:multiLevelType w:val="multilevel"/>
    <w:tmpl w:val="5C14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17E63"/>
    <w:multiLevelType w:val="multilevel"/>
    <w:tmpl w:val="D46A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EA23F9"/>
    <w:multiLevelType w:val="multilevel"/>
    <w:tmpl w:val="73D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159CC"/>
    <w:multiLevelType w:val="multilevel"/>
    <w:tmpl w:val="8164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5"/>
  </w:num>
  <w:num w:numId="2" w16cid:durableId="533077018">
    <w:abstractNumId w:val="18"/>
  </w:num>
  <w:num w:numId="3" w16cid:durableId="616258738">
    <w:abstractNumId w:val="13"/>
  </w:num>
  <w:num w:numId="4" w16cid:durableId="493955492">
    <w:abstractNumId w:val="19"/>
  </w:num>
  <w:num w:numId="5" w16cid:durableId="1028604632">
    <w:abstractNumId w:val="8"/>
  </w:num>
  <w:num w:numId="6" w16cid:durableId="637421463">
    <w:abstractNumId w:val="0"/>
  </w:num>
  <w:num w:numId="7" w16cid:durableId="2076968894">
    <w:abstractNumId w:val="3"/>
  </w:num>
  <w:num w:numId="8" w16cid:durableId="465046399">
    <w:abstractNumId w:val="14"/>
  </w:num>
  <w:num w:numId="9" w16cid:durableId="729959883">
    <w:abstractNumId w:val="15"/>
  </w:num>
  <w:num w:numId="10" w16cid:durableId="611089271">
    <w:abstractNumId w:val="6"/>
  </w:num>
  <w:num w:numId="11" w16cid:durableId="1406873802">
    <w:abstractNumId w:val="1"/>
  </w:num>
  <w:num w:numId="12" w16cid:durableId="764810922">
    <w:abstractNumId w:val="10"/>
  </w:num>
  <w:num w:numId="13" w16cid:durableId="537158707">
    <w:abstractNumId w:val="20"/>
  </w:num>
  <w:num w:numId="14" w16cid:durableId="1430931520">
    <w:abstractNumId w:val="12"/>
  </w:num>
  <w:num w:numId="15" w16cid:durableId="1300309287">
    <w:abstractNumId w:val="2"/>
  </w:num>
  <w:num w:numId="16" w16cid:durableId="676152837">
    <w:abstractNumId w:val="4"/>
  </w:num>
  <w:num w:numId="17" w16cid:durableId="1238784579">
    <w:abstractNumId w:val="16"/>
  </w:num>
  <w:num w:numId="18" w16cid:durableId="2047219001">
    <w:abstractNumId w:val="21"/>
  </w:num>
  <w:num w:numId="19" w16cid:durableId="567765301">
    <w:abstractNumId w:val="17"/>
  </w:num>
  <w:num w:numId="20" w16cid:durableId="1181622974">
    <w:abstractNumId w:val="9"/>
  </w:num>
  <w:num w:numId="21" w16cid:durableId="1217014454">
    <w:abstractNumId w:val="7"/>
  </w:num>
  <w:num w:numId="22" w16cid:durableId="1232036374">
    <w:abstractNumId w:val="11"/>
  </w:num>
  <w:num w:numId="23" w16cid:durableId="10861494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34661"/>
    <w:rsid w:val="00085A2C"/>
    <w:rsid w:val="000A032D"/>
    <w:rsid w:val="00105A25"/>
    <w:rsid w:val="001444CC"/>
    <w:rsid w:val="001765E8"/>
    <w:rsid w:val="00191B32"/>
    <w:rsid w:val="00193D6A"/>
    <w:rsid w:val="001A7F71"/>
    <w:rsid w:val="001D01D0"/>
    <w:rsid w:val="001D577A"/>
    <w:rsid w:val="002157C2"/>
    <w:rsid w:val="00240CEA"/>
    <w:rsid w:val="0026070B"/>
    <w:rsid w:val="00287D7F"/>
    <w:rsid w:val="002B09E6"/>
    <w:rsid w:val="0031593A"/>
    <w:rsid w:val="00370379"/>
    <w:rsid w:val="003923B0"/>
    <w:rsid w:val="0039537C"/>
    <w:rsid w:val="003C4CC5"/>
    <w:rsid w:val="003C673A"/>
    <w:rsid w:val="003E3991"/>
    <w:rsid w:val="0040309F"/>
    <w:rsid w:val="0044669A"/>
    <w:rsid w:val="00455BAB"/>
    <w:rsid w:val="004F3A2D"/>
    <w:rsid w:val="005101E3"/>
    <w:rsid w:val="005460EC"/>
    <w:rsid w:val="00551916"/>
    <w:rsid w:val="00597039"/>
    <w:rsid w:val="005C49B9"/>
    <w:rsid w:val="00605A65"/>
    <w:rsid w:val="006301BD"/>
    <w:rsid w:val="0063162F"/>
    <w:rsid w:val="00633534"/>
    <w:rsid w:val="00641428"/>
    <w:rsid w:val="00656187"/>
    <w:rsid w:val="00656FD1"/>
    <w:rsid w:val="006836EE"/>
    <w:rsid w:val="00697D3B"/>
    <w:rsid w:val="006A0FE7"/>
    <w:rsid w:val="007D17A4"/>
    <w:rsid w:val="007D1F42"/>
    <w:rsid w:val="007D7F3F"/>
    <w:rsid w:val="0083597D"/>
    <w:rsid w:val="00855687"/>
    <w:rsid w:val="008729D7"/>
    <w:rsid w:val="0089763A"/>
    <w:rsid w:val="008B4C0F"/>
    <w:rsid w:val="008D6235"/>
    <w:rsid w:val="009101CE"/>
    <w:rsid w:val="00991150"/>
    <w:rsid w:val="009B3E03"/>
    <w:rsid w:val="00AC54D8"/>
    <w:rsid w:val="00AD10CE"/>
    <w:rsid w:val="00AD3F42"/>
    <w:rsid w:val="00B00B0B"/>
    <w:rsid w:val="00B04CB0"/>
    <w:rsid w:val="00B2735E"/>
    <w:rsid w:val="00BE62D0"/>
    <w:rsid w:val="00C40D71"/>
    <w:rsid w:val="00C71A58"/>
    <w:rsid w:val="00C7516A"/>
    <w:rsid w:val="00D1706A"/>
    <w:rsid w:val="00D259A9"/>
    <w:rsid w:val="00D33171"/>
    <w:rsid w:val="00D85BDB"/>
    <w:rsid w:val="00DA1468"/>
    <w:rsid w:val="00DB2DA0"/>
    <w:rsid w:val="00DD7BF4"/>
    <w:rsid w:val="00DE3414"/>
    <w:rsid w:val="00E029A0"/>
    <w:rsid w:val="00E13044"/>
    <w:rsid w:val="00E13ADD"/>
    <w:rsid w:val="00E34F12"/>
    <w:rsid w:val="00E47FE0"/>
    <w:rsid w:val="00E74C35"/>
    <w:rsid w:val="00E86B03"/>
    <w:rsid w:val="00E91855"/>
    <w:rsid w:val="00E93751"/>
    <w:rsid w:val="00EC68B7"/>
    <w:rsid w:val="00F15C09"/>
    <w:rsid w:val="00F24617"/>
    <w:rsid w:val="00F47631"/>
    <w:rsid w:val="00F80C01"/>
    <w:rsid w:val="00FB24AF"/>
    <w:rsid w:val="00FB52D4"/>
    <w:rsid w:val="00FE64C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aliases w:val="numbered list,3,Bullet 1,Bullet Points,Colorful List - Accent 11,Dot pt,F5 List Paragraph,Indicator Text,Issue Action POC,List Paragraph Char Char Char,List Paragraph2,MAIN CONTENT,Normal numbered,Numbered Para 1,POCG Table Text,Bulle"/>
    <w:basedOn w:val="Navaden"/>
    <w:link w:val="OdstavekseznamaZnak"/>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numbered list Znak,3 Znak,Bullet 1 Znak,Bullet Points Znak,Colorful List - Accent 11 Znak,Dot pt Znak,F5 List Paragraph Znak,Indicator Text Znak,Issue Action POC Znak,List Paragraph Char Char Char Znak,List Paragraph2 Znak"/>
    <w:basedOn w:val="Privzetapisavaodstavka"/>
    <w:link w:val="Odstavekseznama"/>
    <w:uiPriority w:val="34"/>
    <w:qFormat/>
    <w:locked/>
    <w:rsid w:val="007D7F3F"/>
    <w:rPr>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596</Words>
  <Characters>3398</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8</cp:revision>
  <cp:lastPrinted>2026-05-05T06:22:00Z</cp:lastPrinted>
  <dcterms:created xsi:type="dcterms:W3CDTF">2026-06-17T06:26:00Z</dcterms:created>
  <dcterms:modified xsi:type="dcterms:W3CDTF">2026-06-18T08:26:00Z</dcterms:modified>
</cp:coreProperties>
</file>