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368F46A4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3E8E623B" w14:textId="6EFE73A7" w:rsidR="00734E7E" w:rsidRDefault="008B6B4A" w:rsidP="008B6B4A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color w:val="000000"/>
          <w:szCs w:val="22"/>
          <w:lang w:val="sl-SI" w:eastAsia="sl-SI"/>
        </w:rPr>
      </w:pPr>
      <w:r w:rsidRPr="008B6B4A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Zagotovitev pravne podlage in izvajanje ukrepov za zagotavljanje dobrega stanja morskega okolja</w:t>
      </w:r>
    </w:p>
    <w:p w14:paraId="74C1BE84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4AB68A36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35514FBE" w14:textId="77777777" w:rsidR="00732747" w:rsidRDefault="00732747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42210185" w14:textId="77777777" w:rsidR="00924514" w:rsidRDefault="00924514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952A409" w14:textId="77777777" w:rsidR="008B6B4A" w:rsidRDefault="008B6B4A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26204DD7" w14:textId="77777777" w:rsidR="008B6B4A" w:rsidRDefault="008B6B4A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C687632" w14:textId="77777777" w:rsidR="00732747" w:rsidRDefault="00732747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288CC18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A77E13" w14:textId="77777777" w:rsidR="00497969" w:rsidRPr="001444CC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1BD8B734" w14:textId="77777777" w:rsidR="008E5D6E" w:rsidRDefault="008E5D6E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2DF8DA2" w14:textId="77777777" w:rsidR="00697D3B" w:rsidRDefault="00697D3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3BCCDBFF" w:rsidR="00D259A9" w:rsidRPr="00697D3B" w:rsidRDefault="005A4F63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59D409C9" w:rsidR="00D259A9" w:rsidRPr="00697D3B" w:rsidRDefault="007B74DD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7B74DD">
              <w:rPr>
                <w:rFonts w:cs="Arial"/>
                <w:sz w:val="22"/>
                <w:szCs w:val="22"/>
                <w:lang w:val="sl-SI"/>
              </w:rPr>
              <w:t>Ministrstvo za naravne vire in prostor</w:t>
            </w:r>
          </w:p>
        </w:tc>
      </w:tr>
    </w:tbl>
    <w:p w14:paraId="54441373" w14:textId="77777777" w:rsidR="00656187" w:rsidRPr="00BA0084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2D69974C" w14:textId="77777777" w:rsidR="000649FA" w:rsidRPr="000649FA" w:rsidRDefault="000649FA" w:rsidP="000649FA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0649FA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46DE17EC" w14:textId="77777777" w:rsidR="000649FA" w:rsidRPr="000649FA" w:rsidRDefault="000649FA" w:rsidP="000649FA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649FA">
        <w:rPr>
          <w:rFonts w:asciiTheme="majorHAnsi" w:hAnsiTheme="majorHAnsi"/>
          <w:sz w:val="22"/>
          <w:szCs w:val="22"/>
          <w:lang w:val="sl-SI"/>
        </w:rPr>
        <w:t xml:space="preserve">Sprejeta Uredba o Načrtu upravljanja z morskim okoljem za obdobje 2022–2027 (Uradni list RS, št. 162/22) določa po novem: </w:t>
      </w:r>
    </w:p>
    <w:p w14:paraId="5148A65B" w14:textId="77777777" w:rsidR="000649FA" w:rsidRPr="000649FA" w:rsidRDefault="000649FA" w:rsidP="000649FA">
      <w:pPr>
        <w:numPr>
          <w:ilvl w:val="1"/>
          <w:numId w:val="2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649FA">
        <w:rPr>
          <w:rFonts w:asciiTheme="majorHAnsi" w:hAnsiTheme="majorHAnsi"/>
          <w:sz w:val="22"/>
          <w:szCs w:val="22"/>
          <w:lang w:val="sl-SI"/>
        </w:rPr>
        <w:t>jasno pravno podlago za izvajanje ukrepov,</w:t>
      </w:r>
    </w:p>
    <w:p w14:paraId="6B22C0EE" w14:textId="77777777" w:rsidR="000649FA" w:rsidRPr="000649FA" w:rsidRDefault="000649FA" w:rsidP="000649FA">
      <w:pPr>
        <w:numPr>
          <w:ilvl w:val="1"/>
          <w:numId w:val="2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649FA">
        <w:rPr>
          <w:rFonts w:asciiTheme="majorHAnsi" w:hAnsiTheme="majorHAnsi"/>
          <w:sz w:val="22"/>
          <w:szCs w:val="22"/>
          <w:lang w:val="sl-SI"/>
        </w:rPr>
        <w:t>točno opredeljene programe ukrepov,</w:t>
      </w:r>
    </w:p>
    <w:p w14:paraId="2F505C6E" w14:textId="00FFA1D3" w:rsidR="000649FA" w:rsidRPr="000649FA" w:rsidRDefault="000649FA" w:rsidP="000649FA">
      <w:pPr>
        <w:numPr>
          <w:ilvl w:val="1"/>
          <w:numId w:val="2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649FA">
        <w:rPr>
          <w:rFonts w:asciiTheme="majorHAnsi" w:hAnsiTheme="majorHAnsi"/>
          <w:sz w:val="22"/>
          <w:szCs w:val="22"/>
          <w:lang w:val="sl-SI"/>
        </w:rPr>
        <w:t>določene nosilce izvajanja,</w:t>
      </w:r>
    </w:p>
    <w:p w14:paraId="38F6A614" w14:textId="77777777" w:rsidR="000649FA" w:rsidRPr="000649FA" w:rsidRDefault="000649FA" w:rsidP="000649FA">
      <w:pPr>
        <w:numPr>
          <w:ilvl w:val="1"/>
          <w:numId w:val="2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649FA">
        <w:rPr>
          <w:rFonts w:asciiTheme="majorHAnsi" w:hAnsiTheme="majorHAnsi"/>
          <w:sz w:val="22"/>
          <w:szCs w:val="22"/>
          <w:lang w:val="sl-SI"/>
        </w:rPr>
        <w:t>standardizacijo in prilagodljivost načrta za učinkovito upravljanje morskega okolja.</w:t>
      </w:r>
    </w:p>
    <w:p w14:paraId="694E16FE" w14:textId="77777777" w:rsidR="000649FA" w:rsidRPr="000649FA" w:rsidRDefault="000649FA" w:rsidP="000649FA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73D50448" w14:textId="77777777" w:rsidR="000649FA" w:rsidRPr="000649FA" w:rsidRDefault="000649FA" w:rsidP="000649FA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0649FA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jo je bilo potrebno spremeniti</w:t>
      </w:r>
    </w:p>
    <w:p w14:paraId="4E124194" w14:textId="77777777" w:rsidR="000649FA" w:rsidRPr="000649FA" w:rsidRDefault="000649FA" w:rsidP="000649FA">
      <w:pPr>
        <w:numPr>
          <w:ilvl w:val="0"/>
          <w:numId w:val="27"/>
        </w:numPr>
        <w:spacing w:before="0" w:after="0" w:line="0" w:lineRule="atLeast"/>
        <w:rPr>
          <w:rFonts w:asciiTheme="majorHAnsi" w:eastAsia="Book Antiqua" w:hAnsiTheme="majorHAnsi" w:cs="Book Antiqua"/>
          <w:sz w:val="22"/>
          <w:szCs w:val="22"/>
          <w:lang w:val="sl-SI"/>
        </w:rPr>
      </w:pPr>
      <w:r w:rsidRPr="000649FA">
        <w:rPr>
          <w:rFonts w:asciiTheme="majorHAnsi" w:hAnsiTheme="majorHAnsi"/>
          <w:sz w:val="22"/>
          <w:szCs w:val="22"/>
          <w:lang w:val="sl-SI"/>
        </w:rPr>
        <w:t xml:space="preserve">Sprejeta nova Uredba o Načrtu upravljanja z morskim okoljem za obdobje 2022–2027 </w:t>
      </w:r>
      <w:r w:rsidRPr="000649FA">
        <w:rPr>
          <w:rFonts w:asciiTheme="majorHAnsi" w:eastAsia="Book Antiqua" w:hAnsiTheme="majorHAnsi" w:cs="Book Antiqua"/>
          <w:sz w:val="22"/>
          <w:szCs w:val="22"/>
          <w:lang w:val="sl-SI"/>
        </w:rPr>
        <w:t>(Uradni list RS, št. 162/22)</w:t>
      </w:r>
    </w:p>
    <w:p w14:paraId="2D6ABBAF" w14:textId="77777777" w:rsidR="000649FA" w:rsidRPr="000649FA" w:rsidRDefault="000649FA" w:rsidP="000649FA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72AEF825" w14:textId="77777777" w:rsidR="000649FA" w:rsidRPr="000649FA" w:rsidRDefault="000649FA" w:rsidP="000649FA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0649FA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3D729FE6" w14:textId="77777777" w:rsidR="000649FA" w:rsidRPr="000649FA" w:rsidRDefault="000649FA" w:rsidP="000649FA">
      <w:pPr>
        <w:numPr>
          <w:ilvl w:val="0"/>
          <w:numId w:val="2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649FA">
        <w:rPr>
          <w:rFonts w:asciiTheme="majorHAnsi" w:hAnsiTheme="majorHAnsi"/>
          <w:sz w:val="22"/>
          <w:szCs w:val="22"/>
          <w:lang w:val="sl-SI"/>
        </w:rPr>
        <w:t>Poenostavitev postopkov</w:t>
      </w:r>
    </w:p>
    <w:p w14:paraId="716D0927" w14:textId="77777777" w:rsidR="000649FA" w:rsidRPr="000649FA" w:rsidRDefault="000649FA" w:rsidP="000649FA">
      <w:pPr>
        <w:numPr>
          <w:ilvl w:val="0"/>
          <w:numId w:val="2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649FA">
        <w:rPr>
          <w:rFonts w:asciiTheme="majorHAnsi" w:hAnsiTheme="majorHAnsi"/>
          <w:sz w:val="22"/>
          <w:szCs w:val="22"/>
          <w:lang w:val="sl-SI"/>
        </w:rPr>
        <w:t>Večja jasnost in zanesljivost izvajanja ukrepov</w:t>
      </w:r>
    </w:p>
    <w:p w14:paraId="7F050BC2" w14:textId="77777777" w:rsidR="000649FA" w:rsidRPr="000649FA" w:rsidRDefault="000649FA" w:rsidP="000649FA">
      <w:pPr>
        <w:numPr>
          <w:ilvl w:val="0"/>
          <w:numId w:val="2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649FA">
        <w:rPr>
          <w:rFonts w:asciiTheme="majorHAnsi" w:hAnsiTheme="majorHAnsi"/>
          <w:sz w:val="22"/>
          <w:szCs w:val="22"/>
          <w:lang w:val="sl-SI"/>
        </w:rPr>
        <w:t>Standardizacija dokumentacije in odgovornosti</w:t>
      </w:r>
    </w:p>
    <w:p w14:paraId="7FA11592" w14:textId="77777777" w:rsidR="000649FA" w:rsidRPr="000649FA" w:rsidRDefault="000649FA" w:rsidP="000649FA">
      <w:pPr>
        <w:numPr>
          <w:ilvl w:val="0"/>
          <w:numId w:val="2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649FA">
        <w:rPr>
          <w:rFonts w:asciiTheme="majorHAnsi" w:hAnsiTheme="majorHAnsi"/>
          <w:sz w:val="22"/>
          <w:szCs w:val="22"/>
          <w:lang w:val="sl-SI"/>
        </w:rPr>
        <w:t>Izboljšana koordinacija med državnimi organi, strokovnimi izvajalci, gospodarstvom in lokalnimi skupnostmi</w:t>
      </w:r>
    </w:p>
    <w:p w14:paraId="61C58B3B" w14:textId="77777777" w:rsidR="000649FA" w:rsidRPr="000649FA" w:rsidRDefault="000649FA" w:rsidP="000649FA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727B46C0" w14:textId="77777777" w:rsidR="000649FA" w:rsidRPr="000649FA" w:rsidRDefault="000649FA" w:rsidP="000649FA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0649FA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7E56184D" w14:textId="77777777" w:rsidR="000649FA" w:rsidRPr="000649FA" w:rsidRDefault="000649FA" w:rsidP="000649FA">
      <w:pPr>
        <w:numPr>
          <w:ilvl w:val="0"/>
          <w:numId w:val="2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649FA">
        <w:rPr>
          <w:rFonts w:asciiTheme="majorHAnsi" w:hAnsiTheme="majorHAnsi"/>
          <w:sz w:val="22"/>
          <w:szCs w:val="22"/>
          <w:lang w:val="sl-SI"/>
        </w:rPr>
        <w:t>Državne organe</w:t>
      </w:r>
    </w:p>
    <w:p w14:paraId="47EF392F" w14:textId="77777777" w:rsidR="000649FA" w:rsidRPr="000649FA" w:rsidRDefault="000649FA" w:rsidP="000649FA">
      <w:pPr>
        <w:numPr>
          <w:ilvl w:val="0"/>
          <w:numId w:val="2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649FA">
        <w:rPr>
          <w:rFonts w:asciiTheme="majorHAnsi" w:hAnsiTheme="majorHAnsi"/>
          <w:sz w:val="22"/>
          <w:szCs w:val="22"/>
          <w:lang w:val="sl-SI"/>
        </w:rPr>
        <w:t>Strokovne izvajalce</w:t>
      </w:r>
    </w:p>
    <w:p w14:paraId="3F71999D" w14:textId="77777777" w:rsidR="000649FA" w:rsidRPr="000649FA" w:rsidRDefault="000649FA" w:rsidP="000649FA">
      <w:pPr>
        <w:numPr>
          <w:ilvl w:val="0"/>
          <w:numId w:val="2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649FA">
        <w:rPr>
          <w:rFonts w:asciiTheme="majorHAnsi" w:hAnsiTheme="majorHAnsi"/>
          <w:sz w:val="22"/>
          <w:szCs w:val="22"/>
          <w:lang w:val="sl-SI"/>
        </w:rPr>
        <w:t>Gospodarske subjekte</w:t>
      </w:r>
    </w:p>
    <w:p w14:paraId="041EF833" w14:textId="77777777" w:rsidR="000649FA" w:rsidRPr="000649FA" w:rsidRDefault="000649FA" w:rsidP="000649FA">
      <w:pPr>
        <w:numPr>
          <w:ilvl w:val="0"/>
          <w:numId w:val="2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649FA">
        <w:rPr>
          <w:rFonts w:asciiTheme="majorHAnsi" w:hAnsiTheme="majorHAnsi"/>
          <w:sz w:val="22"/>
          <w:szCs w:val="22"/>
          <w:lang w:val="sl-SI"/>
        </w:rPr>
        <w:t>Lokalne skupnosti na obalnih območjih</w:t>
      </w:r>
    </w:p>
    <w:p w14:paraId="3324800A" w14:textId="77777777" w:rsidR="000649FA" w:rsidRPr="000649FA" w:rsidRDefault="000649FA" w:rsidP="000649FA">
      <w:pPr>
        <w:numPr>
          <w:ilvl w:val="0"/>
          <w:numId w:val="2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649FA">
        <w:rPr>
          <w:rFonts w:asciiTheme="majorHAnsi" w:hAnsiTheme="majorHAnsi"/>
          <w:sz w:val="22"/>
          <w:szCs w:val="22"/>
          <w:lang w:val="sl-SI"/>
        </w:rPr>
        <w:t>Okoljevarstvene organizacije</w:t>
      </w:r>
    </w:p>
    <w:p w14:paraId="1A50CC5D" w14:textId="77777777" w:rsidR="000649FA" w:rsidRPr="000649FA" w:rsidRDefault="000649FA" w:rsidP="000649FA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28BCBF43" w14:textId="77777777" w:rsidR="000649FA" w:rsidRPr="000649FA" w:rsidRDefault="000649FA" w:rsidP="000649FA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0649FA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Skupni učinki</w:t>
      </w:r>
    </w:p>
    <w:p w14:paraId="6C023F02" w14:textId="77777777" w:rsidR="000649FA" w:rsidRPr="000649FA" w:rsidRDefault="000649FA" w:rsidP="000649FA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0649FA">
        <w:rPr>
          <w:rFonts w:asciiTheme="majorHAnsi" w:hAnsiTheme="majorHAnsi"/>
          <w:sz w:val="22"/>
          <w:szCs w:val="22"/>
          <w:lang w:val="sl-SI"/>
        </w:rPr>
        <w:t>Ukrep prinaša kvalitativne učinke, kot so večja preglednost, poenostavitev postopkov in boljša pravna varnost.</w:t>
      </w:r>
    </w:p>
    <w:p w14:paraId="0A03F697" w14:textId="5E227B90" w:rsidR="00A722FA" w:rsidRPr="00924514" w:rsidRDefault="00A722FA" w:rsidP="000649FA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sectPr w:rsidR="00A722FA" w:rsidRPr="00924514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4E16" w14:textId="77777777" w:rsidR="001B5C9E" w:rsidRDefault="001B5C9E" w:rsidP="00AD3F42">
      <w:pPr>
        <w:spacing w:before="0" w:after="0" w:line="240" w:lineRule="auto"/>
      </w:pPr>
      <w:r>
        <w:separator/>
      </w:r>
    </w:p>
  </w:endnote>
  <w:endnote w:type="continuationSeparator" w:id="0">
    <w:p w14:paraId="0237754F" w14:textId="77777777" w:rsidR="001B5C9E" w:rsidRDefault="001B5C9E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E65C3" w14:textId="77777777" w:rsidR="001B5C9E" w:rsidRDefault="001B5C9E" w:rsidP="00AD3F42">
      <w:pPr>
        <w:spacing w:before="0" w:after="0" w:line="240" w:lineRule="auto"/>
      </w:pPr>
      <w:r>
        <w:separator/>
      </w:r>
    </w:p>
  </w:footnote>
  <w:footnote w:type="continuationSeparator" w:id="0">
    <w:p w14:paraId="19227AC8" w14:textId="77777777" w:rsidR="001B5C9E" w:rsidRDefault="001B5C9E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F6010"/>
    <w:multiLevelType w:val="multilevel"/>
    <w:tmpl w:val="0FF8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60C49"/>
    <w:multiLevelType w:val="multilevel"/>
    <w:tmpl w:val="057E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2431C"/>
    <w:multiLevelType w:val="multilevel"/>
    <w:tmpl w:val="A652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00EE8"/>
    <w:multiLevelType w:val="multilevel"/>
    <w:tmpl w:val="12BC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B33A4"/>
    <w:multiLevelType w:val="multilevel"/>
    <w:tmpl w:val="B0B8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071CD"/>
    <w:multiLevelType w:val="multilevel"/>
    <w:tmpl w:val="14B8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73EEA"/>
    <w:multiLevelType w:val="multilevel"/>
    <w:tmpl w:val="C7B6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A503E"/>
    <w:multiLevelType w:val="multilevel"/>
    <w:tmpl w:val="2A7C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D71623"/>
    <w:multiLevelType w:val="multilevel"/>
    <w:tmpl w:val="D786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741111"/>
    <w:multiLevelType w:val="multilevel"/>
    <w:tmpl w:val="EA7A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617EB3"/>
    <w:multiLevelType w:val="multilevel"/>
    <w:tmpl w:val="CFDA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2E3ACF"/>
    <w:multiLevelType w:val="multilevel"/>
    <w:tmpl w:val="BE2E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450C6A"/>
    <w:multiLevelType w:val="multilevel"/>
    <w:tmpl w:val="0534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3D5111"/>
    <w:multiLevelType w:val="multilevel"/>
    <w:tmpl w:val="7A0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D66843"/>
    <w:multiLevelType w:val="multilevel"/>
    <w:tmpl w:val="28F2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338CA"/>
    <w:multiLevelType w:val="multilevel"/>
    <w:tmpl w:val="B3DE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BE2828"/>
    <w:multiLevelType w:val="multilevel"/>
    <w:tmpl w:val="A60E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911FD9"/>
    <w:multiLevelType w:val="multilevel"/>
    <w:tmpl w:val="E93A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770A5D"/>
    <w:multiLevelType w:val="multilevel"/>
    <w:tmpl w:val="7F18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6401E4"/>
    <w:multiLevelType w:val="multilevel"/>
    <w:tmpl w:val="5654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A82BE9"/>
    <w:multiLevelType w:val="multilevel"/>
    <w:tmpl w:val="759C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CE4CBB"/>
    <w:multiLevelType w:val="multilevel"/>
    <w:tmpl w:val="EFC2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D36E02"/>
    <w:multiLevelType w:val="multilevel"/>
    <w:tmpl w:val="FEA2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C305E6"/>
    <w:multiLevelType w:val="multilevel"/>
    <w:tmpl w:val="1446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377F13"/>
    <w:multiLevelType w:val="multilevel"/>
    <w:tmpl w:val="A6DE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BB3046"/>
    <w:multiLevelType w:val="multilevel"/>
    <w:tmpl w:val="384A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070A3B"/>
    <w:multiLevelType w:val="multilevel"/>
    <w:tmpl w:val="4C72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8A13BC"/>
    <w:multiLevelType w:val="multilevel"/>
    <w:tmpl w:val="A7E0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421463">
    <w:abstractNumId w:val="0"/>
  </w:num>
  <w:num w:numId="2" w16cid:durableId="638073037">
    <w:abstractNumId w:val="9"/>
  </w:num>
  <w:num w:numId="3" w16cid:durableId="1293443461">
    <w:abstractNumId w:val="27"/>
  </w:num>
  <w:num w:numId="4" w16cid:durableId="973870560">
    <w:abstractNumId w:val="1"/>
  </w:num>
  <w:num w:numId="5" w16cid:durableId="571933134">
    <w:abstractNumId w:val="22"/>
  </w:num>
  <w:num w:numId="6" w16cid:durableId="188758760">
    <w:abstractNumId w:val="21"/>
  </w:num>
  <w:num w:numId="7" w16cid:durableId="486827444">
    <w:abstractNumId w:val="7"/>
  </w:num>
  <w:num w:numId="8" w16cid:durableId="1287854533">
    <w:abstractNumId w:val="28"/>
  </w:num>
  <w:num w:numId="9" w16cid:durableId="964459798">
    <w:abstractNumId w:val="19"/>
  </w:num>
  <w:num w:numId="10" w16cid:durableId="2089497720">
    <w:abstractNumId w:val="26"/>
  </w:num>
  <w:num w:numId="11" w16cid:durableId="1390034972">
    <w:abstractNumId w:val="11"/>
  </w:num>
  <w:num w:numId="12" w16cid:durableId="1599828169">
    <w:abstractNumId w:val="10"/>
  </w:num>
  <w:num w:numId="13" w16cid:durableId="1699087437">
    <w:abstractNumId w:val="6"/>
  </w:num>
  <w:num w:numId="14" w16cid:durableId="1878934213">
    <w:abstractNumId w:val="2"/>
  </w:num>
  <w:num w:numId="15" w16cid:durableId="1649900033">
    <w:abstractNumId w:val="13"/>
  </w:num>
  <w:num w:numId="16" w16cid:durableId="801536066">
    <w:abstractNumId w:val="17"/>
  </w:num>
  <w:num w:numId="17" w16cid:durableId="929583171">
    <w:abstractNumId w:val="16"/>
  </w:num>
  <w:num w:numId="18" w16cid:durableId="1556425752">
    <w:abstractNumId w:val="15"/>
  </w:num>
  <w:num w:numId="19" w16cid:durableId="1548833693">
    <w:abstractNumId w:val="14"/>
  </w:num>
  <w:num w:numId="20" w16cid:durableId="1736273086">
    <w:abstractNumId w:val="3"/>
  </w:num>
  <w:num w:numId="21" w16cid:durableId="591280747">
    <w:abstractNumId w:val="4"/>
  </w:num>
  <w:num w:numId="22" w16cid:durableId="2039767859">
    <w:abstractNumId w:val="24"/>
  </w:num>
  <w:num w:numId="23" w16cid:durableId="904218785">
    <w:abstractNumId w:val="18"/>
  </w:num>
  <w:num w:numId="24" w16cid:durableId="337317054">
    <w:abstractNumId w:val="23"/>
  </w:num>
  <w:num w:numId="25" w16cid:durableId="1942949151">
    <w:abstractNumId w:val="8"/>
  </w:num>
  <w:num w:numId="26" w16cid:durableId="257907056">
    <w:abstractNumId w:val="25"/>
  </w:num>
  <w:num w:numId="27" w16cid:durableId="847259808">
    <w:abstractNumId w:val="20"/>
  </w:num>
  <w:num w:numId="28" w16cid:durableId="317000584">
    <w:abstractNumId w:val="12"/>
  </w:num>
  <w:num w:numId="29" w16cid:durableId="187997215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248DA"/>
    <w:rsid w:val="00026B16"/>
    <w:rsid w:val="000400A8"/>
    <w:rsid w:val="0006397E"/>
    <w:rsid w:val="000649FA"/>
    <w:rsid w:val="000C0935"/>
    <w:rsid w:val="000E0005"/>
    <w:rsid w:val="000E5144"/>
    <w:rsid w:val="00105A25"/>
    <w:rsid w:val="001127D7"/>
    <w:rsid w:val="001444CC"/>
    <w:rsid w:val="00144510"/>
    <w:rsid w:val="00196E67"/>
    <w:rsid w:val="001B5C9E"/>
    <w:rsid w:val="002038E5"/>
    <w:rsid w:val="002157C2"/>
    <w:rsid w:val="00240CEA"/>
    <w:rsid w:val="00241E95"/>
    <w:rsid w:val="0028039F"/>
    <w:rsid w:val="00287D7F"/>
    <w:rsid w:val="002A2B55"/>
    <w:rsid w:val="002B09E6"/>
    <w:rsid w:val="00300F02"/>
    <w:rsid w:val="0030570C"/>
    <w:rsid w:val="0031593A"/>
    <w:rsid w:val="003879A5"/>
    <w:rsid w:val="003923B0"/>
    <w:rsid w:val="0039537C"/>
    <w:rsid w:val="00396E52"/>
    <w:rsid w:val="003C4CC5"/>
    <w:rsid w:val="003C673A"/>
    <w:rsid w:val="003F0901"/>
    <w:rsid w:val="003F0EF7"/>
    <w:rsid w:val="0040309F"/>
    <w:rsid w:val="004179ED"/>
    <w:rsid w:val="0044029D"/>
    <w:rsid w:val="00446A87"/>
    <w:rsid w:val="00455BAB"/>
    <w:rsid w:val="0046214C"/>
    <w:rsid w:val="0047645E"/>
    <w:rsid w:val="00497969"/>
    <w:rsid w:val="004D568E"/>
    <w:rsid w:val="004F3A2D"/>
    <w:rsid w:val="0051501A"/>
    <w:rsid w:val="00551916"/>
    <w:rsid w:val="005911EE"/>
    <w:rsid w:val="005A4F63"/>
    <w:rsid w:val="005B1E46"/>
    <w:rsid w:val="005D7D0B"/>
    <w:rsid w:val="00612E5E"/>
    <w:rsid w:val="006301BD"/>
    <w:rsid w:val="0063162F"/>
    <w:rsid w:val="00633534"/>
    <w:rsid w:val="00641428"/>
    <w:rsid w:val="00656187"/>
    <w:rsid w:val="00656FD1"/>
    <w:rsid w:val="00697748"/>
    <w:rsid w:val="00697D3B"/>
    <w:rsid w:val="006B5ED2"/>
    <w:rsid w:val="0070009B"/>
    <w:rsid w:val="007249DD"/>
    <w:rsid w:val="00727541"/>
    <w:rsid w:val="00732747"/>
    <w:rsid w:val="00734E7E"/>
    <w:rsid w:val="007B74DD"/>
    <w:rsid w:val="007D1625"/>
    <w:rsid w:val="007D17A4"/>
    <w:rsid w:val="007D1F42"/>
    <w:rsid w:val="008551BD"/>
    <w:rsid w:val="00855687"/>
    <w:rsid w:val="008852D3"/>
    <w:rsid w:val="0089763A"/>
    <w:rsid w:val="008B2C2E"/>
    <w:rsid w:val="008B6B4A"/>
    <w:rsid w:val="008D6235"/>
    <w:rsid w:val="008E5D6E"/>
    <w:rsid w:val="009101CE"/>
    <w:rsid w:val="00924514"/>
    <w:rsid w:val="009431D5"/>
    <w:rsid w:val="00954416"/>
    <w:rsid w:val="00A21C07"/>
    <w:rsid w:val="00A722FA"/>
    <w:rsid w:val="00AC54D8"/>
    <w:rsid w:val="00AD10CE"/>
    <w:rsid w:val="00AD3F42"/>
    <w:rsid w:val="00B00B0B"/>
    <w:rsid w:val="00B04CB0"/>
    <w:rsid w:val="00B17566"/>
    <w:rsid w:val="00B2735E"/>
    <w:rsid w:val="00B522F1"/>
    <w:rsid w:val="00B97EA4"/>
    <w:rsid w:val="00BA0084"/>
    <w:rsid w:val="00BA1C43"/>
    <w:rsid w:val="00C40D71"/>
    <w:rsid w:val="00C70D3A"/>
    <w:rsid w:val="00C919B0"/>
    <w:rsid w:val="00D1706A"/>
    <w:rsid w:val="00D259A9"/>
    <w:rsid w:val="00D85BDB"/>
    <w:rsid w:val="00D970E8"/>
    <w:rsid w:val="00DA1468"/>
    <w:rsid w:val="00DB2DA0"/>
    <w:rsid w:val="00DD7BF4"/>
    <w:rsid w:val="00DE3414"/>
    <w:rsid w:val="00DF108C"/>
    <w:rsid w:val="00E029A0"/>
    <w:rsid w:val="00E0566C"/>
    <w:rsid w:val="00E13044"/>
    <w:rsid w:val="00E13ADD"/>
    <w:rsid w:val="00E34F12"/>
    <w:rsid w:val="00E47FE0"/>
    <w:rsid w:val="00E517E3"/>
    <w:rsid w:val="00E71417"/>
    <w:rsid w:val="00E74C35"/>
    <w:rsid w:val="00EB6E97"/>
    <w:rsid w:val="00EF2787"/>
    <w:rsid w:val="00F1341B"/>
    <w:rsid w:val="00F24617"/>
    <w:rsid w:val="00F474BA"/>
    <w:rsid w:val="00F9747F"/>
    <w:rsid w:val="00FB4433"/>
    <w:rsid w:val="00FB52D4"/>
    <w:rsid w:val="00FC3A78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aliases w:val="numbered list,3,Bullet 1,Bullet Points,Colorful List - Accent 11,Dot pt,F5 List Paragraph,Indicator Text,Issue Action POC,List Paragraph Char Char Char,List Paragraph2,MAIN CONTENT,Normal numbered,Numbered Para 1,POCG Table Text,Bulle"/>
    <w:basedOn w:val="Navaden"/>
    <w:link w:val="OdstavekseznamaZnak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1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numbered list Znak,3 Znak,Bullet 1 Znak,Bullet Points Znak,Colorful List - Accent 11 Znak,Dot pt Znak,F5 List Paragraph Znak,Indicator Text Znak,Issue Action POC Znak,List Paragraph Char Char Char Znak,List Paragraph2 Znak"/>
    <w:basedOn w:val="Privzetapisavaodstavka"/>
    <w:link w:val="Odstavekseznama"/>
    <w:uiPriority w:val="34"/>
    <w:qFormat/>
    <w:locked/>
    <w:rsid w:val="00396E52"/>
    <w:rPr>
      <w:kern w:val="0"/>
      <w:sz w:val="20"/>
      <w:szCs w:val="20"/>
      <w:lang w:val="en-US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8551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4A3728-C3FE-46AE-961C-F054D733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10</cp:revision>
  <cp:lastPrinted>2026-05-05T06:22:00Z</cp:lastPrinted>
  <dcterms:created xsi:type="dcterms:W3CDTF">2026-05-22T11:05:00Z</dcterms:created>
  <dcterms:modified xsi:type="dcterms:W3CDTF">2026-05-28T07:38:00Z</dcterms:modified>
</cp:coreProperties>
</file>