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266E2508">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0EAD5F72" w14:textId="2C8F3F4A" w:rsidR="00DF108C" w:rsidRDefault="008551BD" w:rsidP="008551BD">
      <w:pPr>
        <w:tabs>
          <w:tab w:val="left" w:pos="283"/>
        </w:tabs>
        <w:autoSpaceDE w:val="0"/>
        <w:autoSpaceDN w:val="0"/>
        <w:adjustRightInd w:val="0"/>
        <w:jc w:val="center"/>
        <w:textAlignment w:val="center"/>
        <w:rPr>
          <w:rFonts w:cs="Arial"/>
          <w:color w:val="000000"/>
          <w:szCs w:val="22"/>
          <w:lang w:val="sl-SI" w:eastAsia="sl-SI"/>
        </w:rPr>
      </w:pPr>
      <w:r w:rsidRPr="008551BD">
        <w:rPr>
          <w:rFonts w:cs="Aptos Narrow"/>
          <w:b/>
          <w:color w:val="000000"/>
          <w:sz w:val="36"/>
          <w:szCs w:val="36"/>
          <w:lang w:val="sl-SI"/>
          <w14:ligatures w14:val="standardContextual"/>
        </w:rPr>
        <w:t>Centralna evidenca nepremičnin</w:t>
      </w:r>
    </w:p>
    <w:p w14:paraId="46E1FC47" w14:textId="77777777" w:rsidR="00DF108C" w:rsidRDefault="00DF108C" w:rsidP="00AD3F42">
      <w:pPr>
        <w:tabs>
          <w:tab w:val="left" w:pos="283"/>
        </w:tabs>
        <w:autoSpaceDE w:val="0"/>
        <w:autoSpaceDN w:val="0"/>
        <w:adjustRightInd w:val="0"/>
        <w:jc w:val="both"/>
        <w:textAlignment w:val="center"/>
        <w:rPr>
          <w:rFonts w:cs="Arial"/>
          <w:color w:val="000000"/>
          <w:szCs w:val="22"/>
          <w:lang w:val="sl-SI" w:eastAsia="sl-SI"/>
        </w:rPr>
      </w:pPr>
    </w:p>
    <w:p w14:paraId="3B2715B8" w14:textId="77777777" w:rsidR="00DF108C" w:rsidRDefault="00DF108C" w:rsidP="00AD3F42">
      <w:pPr>
        <w:tabs>
          <w:tab w:val="left" w:pos="283"/>
        </w:tabs>
        <w:autoSpaceDE w:val="0"/>
        <w:autoSpaceDN w:val="0"/>
        <w:adjustRightInd w:val="0"/>
        <w:jc w:val="both"/>
        <w:textAlignment w:val="center"/>
        <w:rPr>
          <w:rFonts w:cs="Arial"/>
          <w:color w:val="000000"/>
          <w:szCs w:val="22"/>
          <w:lang w:val="sl-SI" w:eastAsia="sl-SI"/>
        </w:rPr>
      </w:pPr>
    </w:p>
    <w:p w14:paraId="166D65D3" w14:textId="77777777" w:rsidR="005D7D0B" w:rsidRDefault="005D7D0B" w:rsidP="00AD3F42">
      <w:pPr>
        <w:tabs>
          <w:tab w:val="left" w:pos="283"/>
        </w:tabs>
        <w:autoSpaceDE w:val="0"/>
        <w:autoSpaceDN w:val="0"/>
        <w:adjustRightInd w:val="0"/>
        <w:jc w:val="both"/>
        <w:textAlignment w:val="center"/>
        <w:rPr>
          <w:rFonts w:cs="Arial"/>
          <w:color w:val="000000"/>
          <w:szCs w:val="22"/>
          <w:lang w:val="sl-SI" w:eastAsia="sl-SI"/>
        </w:rPr>
      </w:pPr>
    </w:p>
    <w:p w14:paraId="278CD519"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57FAABA6"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3AE44684"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4B2863B0"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6802B707"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5491CA55" w14:textId="77777777" w:rsidR="00B522F1" w:rsidRPr="001444CC" w:rsidRDefault="00B522F1"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1B86B0EA" w:rsidR="00D259A9" w:rsidRPr="00697D3B" w:rsidRDefault="00DB5BDD" w:rsidP="000E0300">
            <w:pPr>
              <w:rPr>
                <w:rFonts w:cs="Arial"/>
                <w:sz w:val="22"/>
                <w:szCs w:val="22"/>
                <w:lang w:val="sl-SI"/>
              </w:rPr>
            </w:pPr>
            <w:r>
              <w:rPr>
                <w:rFonts w:cs="Arial"/>
                <w:sz w:val="22"/>
                <w:szCs w:val="22"/>
                <w:lang w:val="sl-SI"/>
              </w:rPr>
              <w:t>Nosilec ukrepa:</w:t>
            </w:r>
          </w:p>
        </w:tc>
        <w:tc>
          <w:tcPr>
            <w:tcW w:w="6242" w:type="dxa"/>
          </w:tcPr>
          <w:p w14:paraId="2AE3680B" w14:textId="76862FB4" w:rsidR="00D259A9" w:rsidRPr="00697D3B" w:rsidRDefault="007D1625" w:rsidP="000E0300">
            <w:pPr>
              <w:rPr>
                <w:rFonts w:cs="Arial"/>
                <w:sz w:val="22"/>
                <w:szCs w:val="22"/>
                <w:lang w:val="sl-SI"/>
              </w:rPr>
            </w:pPr>
            <w:r w:rsidRPr="00697D3B">
              <w:rPr>
                <w:rFonts w:cs="Arial"/>
                <w:sz w:val="22"/>
                <w:szCs w:val="22"/>
                <w:lang w:val="sl-SI"/>
              </w:rPr>
              <w:t>Ministrstvo za javno upravo</w:t>
            </w:r>
          </w:p>
        </w:tc>
      </w:tr>
    </w:tbl>
    <w:p w14:paraId="54441373" w14:textId="77777777" w:rsidR="00656187" w:rsidRPr="0006397E" w:rsidRDefault="00656187" w:rsidP="00D259A9">
      <w:pPr>
        <w:rPr>
          <w:rFonts w:asciiTheme="majorHAnsi" w:hAnsiTheme="majorHAnsi"/>
          <w:color w:val="0F4761" w:themeColor="accent1" w:themeShade="BF"/>
          <w:sz w:val="32"/>
          <w:szCs w:val="32"/>
          <w:lang w:val="sl-SI"/>
        </w:rPr>
      </w:pPr>
    </w:p>
    <w:p w14:paraId="6A292566" w14:textId="77777777" w:rsidR="008551BD" w:rsidRPr="008551BD" w:rsidRDefault="008551BD" w:rsidP="008551BD">
      <w:pPr>
        <w:spacing w:before="0" w:after="0" w:line="0" w:lineRule="atLeast"/>
        <w:rPr>
          <w:rFonts w:asciiTheme="majorHAnsi" w:hAnsiTheme="majorHAnsi"/>
          <w:color w:val="0F4761" w:themeColor="accent1" w:themeShade="BF"/>
          <w:sz w:val="32"/>
          <w:szCs w:val="32"/>
          <w:u w:val="single"/>
          <w:lang w:val="sl-SI"/>
        </w:rPr>
      </w:pPr>
      <w:r w:rsidRPr="008551BD">
        <w:rPr>
          <w:rFonts w:asciiTheme="majorHAnsi" w:hAnsiTheme="majorHAnsi"/>
          <w:color w:val="0F4761" w:themeColor="accent1" w:themeShade="BF"/>
          <w:sz w:val="32"/>
          <w:szCs w:val="32"/>
          <w:u w:val="single"/>
          <w:lang w:val="sl-SI"/>
        </w:rPr>
        <w:t>Opis sprememb</w:t>
      </w:r>
    </w:p>
    <w:p w14:paraId="478CA161" w14:textId="1043D163" w:rsidR="008551BD" w:rsidRPr="008551BD" w:rsidRDefault="008551BD" w:rsidP="008551BD">
      <w:pPr>
        <w:spacing w:before="0" w:after="0" w:line="0" w:lineRule="atLeast"/>
        <w:jc w:val="both"/>
        <w:rPr>
          <w:rFonts w:asciiTheme="majorHAnsi" w:hAnsiTheme="majorHAnsi"/>
          <w:sz w:val="22"/>
          <w:szCs w:val="22"/>
          <w:lang w:val="sl-SI"/>
        </w:rPr>
      </w:pPr>
      <w:r w:rsidRPr="008551BD">
        <w:rPr>
          <w:rFonts w:asciiTheme="majorHAnsi" w:hAnsiTheme="majorHAnsi"/>
          <w:sz w:val="22"/>
          <w:szCs w:val="22"/>
          <w:lang w:val="sl-SI"/>
        </w:rPr>
        <w:t>Vzpostavljen je bil informacijski sistem Gospodar (IS Gospodar) kot centralna evidenca nepremičnin Republike Slovenije, skladno z zakonsko zahtevo iz Zakona o stvarnem premoženju države in samoupravnih lokalnih skupnosti (</w:t>
      </w:r>
      <w:r w:rsidRPr="008551BD">
        <w:rPr>
          <w:rFonts w:asciiTheme="majorHAnsi" w:eastAsia="Book Antiqua" w:hAnsiTheme="majorHAnsi" w:cs="Book Antiqua"/>
          <w:sz w:val="22"/>
          <w:szCs w:val="22"/>
          <w:lang w:val="sl-SI"/>
        </w:rPr>
        <w:t xml:space="preserve">Uradni list RS, št. </w:t>
      </w:r>
      <w:hyperlink r:id="rId9" w:history="1">
        <w:r w:rsidRPr="008551BD">
          <w:rPr>
            <w:rStyle w:val="Hiperpovezava"/>
            <w:rFonts w:asciiTheme="majorHAnsi" w:eastAsia="Book Antiqua" w:hAnsiTheme="majorHAnsi" w:cs="Book Antiqua"/>
            <w:color w:val="C00000"/>
            <w:sz w:val="22"/>
            <w:szCs w:val="22"/>
            <w:lang w:val="sl-SI"/>
          </w:rPr>
          <w:t>11/18</w:t>
        </w:r>
      </w:hyperlink>
      <w:r w:rsidRPr="008551BD">
        <w:rPr>
          <w:rFonts w:asciiTheme="majorHAnsi" w:eastAsia="Book Antiqua" w:hAnsiTheme="majorHAnsi" w:cs="Book Antiqua"/>
          <w:sz w:val="22"/>
          <w:szCs w:val="22"/>
          <w:lang w:val="sl-SI"/>
        </w:rPr>
        <w:t xml:space="preserve">, </w:t>
      </w:r>
      <w:hyperlink r:id="rId10" w:history="1">
        <w:r w:rsidRPr="008551BD">
          <w:rPr>
            <w:rStyle w:val="Hiperpovezava"/>
            <w:rFonts w:asciiTheme="majorHAnsi" w:eastAsia="Book Antiqua" w:hAnsiTheme="majorHAnsi" w:cs="Book Antiqua"/>
            <w:color w:val="C00000"/>
            <w:sz w:val="22"/>
            <w:szCs w:val="22"/>
            <w:lang w:val="sl-SI"/>
          </w:rPr>
          <w:t>79/18</w:t>
        </w:r>
      </w:hyperlink>
      <w:r w:rsidRPr="008551BD">
        <w:rPr>
          <w:rFonts w:asciiTheme="majorHAnsi" w:eastAsia="Book Antiqua" w:hAnsiTheme="majorHAnsi" w:cs="Book Antiqua"/>
          <w:sz w:val="22"/>
          <w:szCs w:val="22"/>
          <w:lang w:val="sl-SI"/>
        </w:rPr>
        <w:t xml:space="preserve"> in </w:t>
      </w:r>
      <w:hyperlink r:id="rId11" w:history="1">
        <w:r w:rsidRPr="008551BD">
          <w:rPr>
            <w:rStyle w:val="Hiperpovezava"/>
            <w:rFonts w:asciiTheme="majorHAnsi" w:eastAsia="Book Antiqua" w:hAnsiTheme="majorHAnsi" w:cs="Book Antiqua"/>
            <w:color w:val="C00000"/>
            <w:sz w:val="22"/>
            <w:szCs w:val="22"/>
            <w:lang w:val="sl-SI"/>
          </w:rPr>
          <w:t>78/23</w:t>
        </w:r>
      </w:hyperlink>
      <w:r w:rsidRPr="008551BD">
        <w:rPr>
          <w:rFonts w:asciiTheme="majorHAnsi" w:eastAsia="Book Antiqua" w:hAnsiTheme="majorHAnsi" w:cs="Book Antiqua"/>
          <w:sz w:val="22"/>
          <w:szCs w:val="22"/>
          <w:lang w:val="sl-SI"/>
        </w:rPr>
        <w:t xml:space="preserve"> – ZORR)</w:t>
      </w:r>
      <w:r w:rsidRPr="008551BD">
        <w:rPr>
          <w:rFonts w:asciiTheme="majorHAnsi" w:hAnsiTheme="majorHAnsi"/>
          <w:sz w:val="22"/>
          <w:szCs w:val="22"/>
          <w:lang w:val="sl-SI"/>
        </w:rPr>
        <w:t>. IS Gospodar je nadomestil zastarelo evidenco CEN2 in omogoča:</w:t>
      </w:r>
    </w:p>
    <w:p w14:paraId="7917F295" w14:textId="77777777" w:rsidR="008551BD" w:rsidRPr="008551BD" w:rsidRDefault="008551BD" w:rsidP="008551BD">
      <w:pPr>
        <w:numPr>
          <w:ilvl w:val="0"/>
          <w:numId w:val="34"/>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evidenco atributnih in grafičnih podatkov o nepremičninah v lasti in uporabi države (z določenimi izjemami),</w:t>
      </w:r>
    </w:p>
    <w:p w14:paraId="26C230FF" w14:textId="77777777" w:rsidR="008551BD" w:rsidRPr="008551BD" w:rsidRDefault="008551BD" w:rsidP="008551BD">
      <w:pPr>
        <w:numPr>
          <w:ilvl w:val="0"/>
          <w:numId w:val="34"/>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usklajenost podatkov z matičnimi registri,</w:t>
      </w:r>
    </w:p>
    <w:p w14:paraId="02DE6BA6" w14:textId="77777777" w:rsidR="008551BD" w:rsidRPr="008551BD" w:rsidRDefault="008551BD" w:rsidP="008551BD">
      <w:pPr>
        <w:numPr>
          <w:ilvl w:val="0"/>
          <w:numId w:val="34"/>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večjo preglednost nad nepremičninami in stroški,</w:t>
      </w:r>
    </w:p>
    <w:p w14:paraId="29D47DF2" w14:textId="77777777" w:rsidR="008551BD" w:rsidRPr="008551BD" w:rsidRDefault="008551BD" w:rsidP="008551BD">
      <w:pPr>
        <w:numPr>
          <w:ilvl w:val="0"/>
          <w:numId w:val="34"/>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elektronsko načrtovanje razpolaganja z nepremičninami ter evidentiranje osnovnih podatkov o investicijah.</w:t>
      </w:r>
    </w:p>
    <w:p w14:paraId="57F0810F" w14:textId="77777777" w:rsidR="008551BD" w:rsidRPr="008551BD" w:rsidRDefault="008551BD" w:rsidP="008551BD">
      <w:pPr>
        <w:spacing w:before="0" w:after="0" w:line="0" w:lineRule="atLeast"/>
        <w:rPr>
          <w:rFonts w:asciiTheme="majorHAnsi" w:hAnsiTheme="majorHAnsi"/>
          <w:sz w:val="22"/>
          <w:szCs w:val="22"/>
          <w:lang w:val="sl-SI"/>
        </w:rPr>
      </w:pPr>
    </w:p>
    <w:p w14:paraId="40940C9E" w14:textId="77777777" w:rsidR="008551BD" w:rsidRPr="008551BD" w:rsidRDefault="008551BD" w:rsidP="008551BD">
      <w:pPr>
        <w:spacing w:before="0" w:after="0" w:line="0" w:lineRule="atLeast"/>
        <w:jc w:val="both"/>
        <w:rPr>
          <w:rFonts w:asciiTheme="majorHAnsi" w:hAnsiTheme="majorHAnsi"/>
          <w:sz w:val="22"/>
          <w:szCs w:val="22"/>
          <w:lang w:val="sl-SI"/>
        </w:rPr>
      </w:pPr>
      <w:r w:rsidRPr="008551BD">
        <w:rPr>
          <w:rFonts w:asciiTheme="majorHAnsi" w:hAnsiTheme="majorHAnsi"/>
          <w:sz w:val="22"/>
          <w:szCs w:val="22"/>
          <w:lang w:val="sl-SI"/>
        </w:rPr>
        <w:t>Migracija podatkov iz CEN2 je bila izvedena aprila 2022, nato pa se podatki sproti osvežujejo in dopolnjujejo. Sistem omogoča sodobno tehnološko podporo za učinkovito, gospodarno upravljanje državnih nepremičnin in prilagajanje zakonodajnim spremembam.</w:t>
      </w:r>
    </w:p>
    <w:p w14:paraId="0AB4E005" w14:textId="77777777" w:rsidR="008551BD" w:rsidRPr="008551BD" w:rsidRDefault="008551BD" w:rsidP="008551BD">
      <w:pPr>
        <w:spacing w:before="0" w:after="0" w:line="0" w:lineRule="atLeast"/>
        <w:rPr>
          <w:rFonts w:asciiTheme="majorHAnsi" w:hAnsiTheme="majorHAnsi"/>
          <w:sz w:val="22"/>
          <w:szCs w:val="22"/>
          <w:lang w:val="sl-SI"/>
        </w:rPr>
      </w:pPr>
    </w:p>
    <w:p w14:paraId="5802D264" w14:textId="77777777" w:rsidR="008551BD" w:rsidRPr="008551BD" w:rsidRDefault="008551BD" w:rsidP="008551BD">
      <w:pPr>
        <w:spacing w:before="0" w:after="0" w:line="0" w:lineRule="atLeast"/>
        <w:rPr>
          <w:rFonts w:asciiTheme="majorHAnsi" w:hAnsiTheme="majorHAnsi"/>
          <w:color w:val="0F4761" w:themeColor="accent1" w:themeShade="BF"/>
          <w:sz w:val="32"/>
          <w:szCs w:val="32"/>
          <w:u w:val="single"/>
          <w:lang w:val="sl-SI"/>
        </w:rPr>
      </w:pPr>
      <w:r w:rsidRPr="008551BD">
        <w:rPr>
          <w:rFonts w:asciiTheme="majorHAnsi" w:hAnsiTheme="majorHAnsi"/>
          <w:color w:val="0F4761" w:themeColor="accent1" w:themeShade="BF"/>
          <w:sz w:val="32"/>
          <w:szCs w:val="32"/>
          <w:u w:val="single"/>
          <w:lang w:val="sl-SI"/>
        </w:rPr>
        <w:t>Zakonodaja, ki jo je bilo potrebno spremeniti</w:t>
      </w:r>
    </w:p>
    <w:p w14:paraId="7F4E3777" w14:textId="77777777" w:rsidR="008551BD" w:rsidRPr="008551BD" w:rsidRDefault="008551BD" w:rsidP="008551BD">
      <w:pPr>
        <w:numPr>
          <w:ilvl w:val="0"/>
          <w:numId w:val="35"/>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Zakon o stvarnem premoženju države in samoupravnih lokalnih skupnosti (</w:t>
      </w:r>
      <w:r w:rsidRPr="008551BD">
        <w:rPr>
          <w:rFonts w:asciiTheme="majorHAnsi" w:eastAsia="Book Antiqua" w:hAnsiTheme="majorHAnsi" w:cs="Book Antiqua"/>
          <w:sz w:val="22"/>
          <w:szCs w:val="22"/>
          <w:lang w:val="sl-SI"/>
        </w:rPr>
        <w:t xml:space="preserve">Uradni list RS, št. </w:t>
      </w:r>
      <w:hyperlink r:id="rId12" w:history="1">
        <w:r w:rsidRPr="008551BD">
          <w:rPr>
            <w:rStyle w:val="Hiperpovezava"/>
            <w:rFonts w:asciiTheme="majorHAnsi" w:eastAsia="Book Antiqua" w:hAnsiTheme="majorHAnsi" w:cs="Book Antiqua"/>
            <w:color w:val="C00000"/>
            <w:sz w:val="22"/>
            <w:szCs w:val="22"/>
          </w:rPr>
          <w:t>11/18</w:t>
        </w:r>
      </w:hyperlink>
      <w:r w:rsidRPr="008551BD">
        <w:rPr>
          <w:rFonts w:asciiTheme="majorHAnsi" w:eastAsia="Book Antiqua" w:hAnsiTheme="majorHAnsi" w:cs="Book Antiqua"/>
          <w:sz w:val="22"/>
          <w:szCs w:val="22"/>
        </w:rPr>
        <w:t xml:space="preserve">, </w:t>
      </w:r>
      <w:hyperlink r:id="rId13" w:history="1">
        <w:r w:rsidRPr="008551BD">
          <w:rPr>
            <w:rStyle w:val="Hiperpovezava"/>
            <w:rFonts w:asciiTheme="majorHAnsi" w:eastAsia="Book Antiqua" w:hAnsiTheme="majorHAnsi" w:cs="Book Antiqua"/>
            <w:color w:val="C00000"/>
            <w:sz w:val="22"/>
            <w:szCs w:val="22"/>
          </w:rPr>
          <w:t>79/18</w:t>
        </w:r>
      </w:hyperlink>
      <w:r w:rsidRPr="008551BD">
        <w:rPr>
          <w:rFonts w:asciiTheme="majorHAnsi" w:eastAsia="Book Antiqua" w:hAnsiTheme="majorHAnsi" w:cs="Book Antiqua"/>
          <w:sz w:val="22"/>
          <w:szCs w:val="22"/>
        </w:rPr>
        <w:t xml:space="preserve"> in </w:t>
      </w:r>
      <w:hyperlink r:id="rId14" w:history="1">
        <w:r w:rsidRPr="008551BD">
          <w:rPr>
            <w:rStyle w:val="Hiperpovezava"/>
            <w:rFonts w:asciiTheme="majorHAnsi" w:eastAsia="Book Antiqua" w:hAnsiTheme="majorHAnsi" w:cs="Book Antiqua"/>
            <w:color w:val="C00000"/>
            <w:sz w:val="22"/>
            <w:szCs w:val="22"/>
          </w:rPr>
          <w:t>78/23</w:t>
        </w:r>
      </w:hyperlink>
      <w:r w:rsidRPr="008551BD">
        <w:rPr>
          <w:rFonts w:asciiTheme="majorHAnsi" w:eastAsia="Book Antiqua" w:hAnsiTheme="majorHAnsi" w:cs="Book Antiqua"/>
          <w:sz w:val="22"/>
          <w:szCs w:val="22"/>
        </w:rPr>
        <w:t xml:space="preserve"> – ZORR</w:t>
      </w:r>
      <w:r w:rsidRPr="008551BD">
        <w:rPr>
          <w:rFonts w:asciiTheme="majorHAnsi" w:eastAsia="Book Antiqua" w:hAnsiTheme="majorHAnsi" w:cs="Book Antiqua"/>
          <w:sz w:val="22"/>
          <w:szCs w:val="22"/>
          <w:lang w:val="sl-SI"/>
        </w:rPr>
        <w:t>; ZSPDSLS-1</w:t>
      </w:r>
      <w:r w:rsidRPr="008551BD">
        <w:rPr>
          <w:rFonts w:asciiTheme="majorHAnsi" w:hAnsiTheme="majorHAnsi"/>
          <w:sz w:val="22"/>
          <w:szCs w:val="22"/>
          <w:lang w:val="sl-SI"/>
        </w:rPr>
        <w:t>) – zahteva vzpostavitev centralne evidence nepremičnin</w:t>
      </w:r>
    </w:p>
    <w:p w14:paraId="76B2DB12" w14:textId="77777777" w:rsidR="008551BD" w:rsidRPr="008551BD" w:rsidRDefault="008551BD" w:rsidP="008551BD">
      <w:pPr>
        <w:spacing w:before="0" w:after="0" w:line="0" w:lineRule="atLeast"/>
        <w:rPr>
          <w:rFonts w:asciiTheme="majorHAnsi" w:hAnsiTheme="majorHAnsi"/>
          <w:sz w:val="22"/>
          <w:szCs w:val="22"/>
          <w:lang w:val="sl-SI"/>
        </w:rPr>
      </w:pPr>
    </w:p>
    <w:p w14:paraId="468B31B5" w14:textId="77777777" w:rsidR="008551BD" w:rsidRPr="008551BD" w:rsidRDefault="008551BD" w:rsidP="008551BD">
      <w:pPr>
        <w:spacing w:before="0" w:after="0" w:line="0" w:lineRule="atLeast"/>
        <w:rPr>
          <w:rFonts w:asciiTheme="majorHAnsi" w:hAnsiTheme="majorHAnsi"/>
          <w:color w:val="0F4761" w:themeColor="accent1" w:themeShade="BF"/>
          <w:sz w:val="32"/>
          <w:szCs w:val="32"/>
          <w:u w:val="single"/>
          <w:lang w:val="sl-SI"/>
        </w:rPr>
      </w:pPr>
      <w:r w:rsidRPr="008551BD">
        <w:rPr>
          <w:rFonts w:asciiTheme="majorHAnsi" w:hAnsiTheme="majorHAnsi"/>
          <w:color w:val="0F4761" w:themeColor="accent1" w:themeShade="BF"/>
          <w:sz w:val="32"/>
          <w:szCs w:val="32"/>
          <w:u w:val="single"/>
          <w:lang w:val="sl-SI"/>
        </w:rPr>
        <w:t>Bistvo administrativne razbremenitve</w:t>
      </w:r>
    </w:p>
    <w:p w14:paraId="64FEC372" w14:textId="77777777" w:rsidR="008551BD" w:rsidRPr="008551BD" w:rsidRDefault="008551BD" w:rsidP="008551BD">
      <w:pPr>
        <w:numPr>
          <w:ilvl w:val="0"/>
          <w:numId w:val="36"/>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Centralizacija podatkov nepremičnin v lasti in uporabi države</w:t>
      </w:r>
    </w:p>
    <w:p w14:paraId="1C9CCC53" w14:textId="77777777" w:rsidR="008551BD" w:rsidRPr="008551BD" w:rsidRDefault="008551BD" w:rsidP="008551BD">
      <w:pPr>
        <w:numPr>
          <w:ilvl w:val="0"/>
          <w:numId w:val="36"/>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Večja preglednost in dostopnost podatkov</w:t>
      </w:r>
    </w:p>
    <w:p w14:paraId="465752CF" w14:textId="77777777" w:rsidR="008551BD" w:rsidRPr="008551BD" w:rsidRDefault="008551BD" w:rsidP="008551BD">
      <w:pPr>
        <w:numPr>
          <w:ilvl w:val="0"/>
          <w:numId w:val="36"/>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Usklajenost podatkov z drugimi matičnimi evidencami in registri</w:t>
      </w:r>
    </w:p>
    <w:p w14:paraId="1F10B40E" w14:textId="77777777" w:rsidR="008551BD" w:rsidRPr="008551BD" w:rsidRDefault="008551BD" w:rsidP="008551BD">
      <w:pPr>
        <w:numPr>
          <w:ilvl w:val="0"/>
          <w:numId w:val="36"/>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Podpora načrtovanju razpolaganja in investicij</w:t>
      </w:r>
    </w:p>
    <w:p w14:paraId="5ED8434B" w14:textId="77777777" w:rsidR="008551BD" w:rsidRPr="008551BD" w:rsidRDefault="008551BD" w:rsidP="008551BD">
      <w:pPr>
        <w:spacing w:before="0" w:after="0" w:line="0" w:lineRule="atLeast"/>
        <w:rPr>
          <w:rFonts w:asciiTheme="majorHAnsi" w:hAnsiTheme="majorHAnsi"/>
          <w:sz w:val="22"/>
          <w:szCs w:val="22"/>
          <w:lang w:val="sl-SI"/>
        </w:rPr>
      </w:pPr>
    </w:p>
    <w:p w14:paraId="299A75A8" w14:textId="77777777" w:rsidR="008551BD" w:rsidRPr="008551BD" w:rsidRDefault="008551BD" w:rsidP="008551BD">
      <w:pPr>
        <w:spacing w:before="0" w:after="0" w:line="0" w:lineRule="atLeast"/>
        <w:rPr>
          <w:rFonts w:asciiTheme="majorHAnsi" w:hAnsiTheme="majorHAnsi"/>
          <w:color w:val="0F4761" w:themeColor="accent1" w:themeShade="BF"/>
          <w:sz w:val="32"/>
          <w:szCs w:val="32"/>
          <w:u w:val="single"/>
          <w:lang w:val="sl-SI"/>
        </w:rPr>
      </w:pPr>
      <w:r w:rsidRPr="008551BD">
        <w:rPr>
          <w:rFonts w:asciiTheme="majorHAnsi" w:hAnsiTheme="majorHAnsi"/>
          <w:color w:val="0F4761" w:themeColor="accent1" w:themeShade="BF"/>
          <w:sz w:val="32"/>
          <w:szCs w:val="32"/>
          <w:u w:val="single"/>
          <w:lang w:val="sl-SI"/>
        </w:rPr>
        <w:t>Na koga sprememba vpliva</w:t>
      </w:r>
    </w:p>
    <w:p w14:paraId="25A0669B" w14:textId="77777777" w:rsidR="008551BD" w:rsidRPr="008551BD" w:rsidRDefault="008551BD" w:rsidP="008551BD">
      <w:pPr>
        <w:numPr>
          <w:ilvl w:val="0"/>
          <w:numId w:val="37"/>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Državne in druge organe, ki upravljajo nepremičnine (upravljavci nepremičnin)</w:t>
      </w:r>
    </w:p>
    <w:p w14:paraId="158D011B" w14:textId="77777777" w:rsidR="008551BD" w:rsidRPr="008551BD" w:rsidRDefault="008551BD" w:rsidP="008551BD">
      <w:pPr>
        <w:numPr>
          <w:ilvl w:val="0"/>
          <w:numId w:val="37"/>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Organe, ki načrtujejo in izvajajo investicije in razpolagajo z nepremičninami</w:t>
      </w:r>
    </w:p>
    <w:p w14:paraId="5D703682" w14:textId="77777777" w:rsidR="008551BD" w:rsidRPr="008551BD" w:rsidRDefault="008551BD" w:rsidP="008551BD">
      <w:pPr>
        <w:numPr>
          <w:ilvl w:val="0"/>
          <w:numId w:val="37"/>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Posredno javnost (večja transparentnost)</w:t>
      </w:r>
    </w:p>
    <w:p w14:paraId="34E800EE" w14:textId="77777777" w:rsidR="008551BD" w:rsidRPr="008551BD" w:rsidRDefault="008551BD" w:rsidP="008551BD">
      <w:pPr>
        <w:spacing w:before="0" w:after="0" w:line="0" w:lineRule="atLeast"/>
        <w:rPr>
          <w:rFonts w:asciiTheme="majorHAnsi" w:hAnsiTheme="majorHAnsi"/>
          <w:sz w:val="22"/>
          <w:szCs w:val="22"/>
          <w:lang w:val="sl-SI"/>
        </w:rPr>
      </w:pPr>
    </w:p>
    <w:p w14:paraId="43786CEC" w14:textId="77777777" w:rsidR="008551BD" w:rsidRPr="008551BD" w:rsidRDefault="008551BD" w:rsidP="008551BD">
      <w:pPr>
        <w:spacing w:before="0" w:after="0" w:line="0" w:lineRule="atLeast"/>
        <w:rPr>
          <w:rFonts w:asciiTheme="majorHAnsi" w:hAnsiTheme="majorHAnsi"/>
          <w:color w:val="0F4761" w:themeColor="accent1" w:themeShade="BF"/>
          <w:sz w:val="32"/>
          <w:szCs w:val="32"/>
          <w:u w:val="single"/>
          <w:lang w:val="sl-SI"/>
        </w:rPr>
      </w:pPr>
      <w:r w:rsidRPr="008551BD">
        <w:rPr>
          <w:rFonts w:asciiTheme="majorHAnsi" w:hAnsiTheme="majorHAnsi"/>
          <w:color w:val="0F4761" w:themeColor="accent1" w:themeShade="BF"/>
          <w:sz w:val="32"/>
          <w:szCs w:val="32"/>
          <w:u w:val="single"/>
          <w:lang w:val="sl-SI"/>
        </w:rPr>
        <w:t>Skupni učinki</w:t>
      </w:r>
    </w:p>
    <w:p w14:paraId="7DF777FE" w14:textId="77777777" w:rsidR="008551BD" w:rsidRPr="008551BD" w:rsidRDefault="008551BD" w:rsidP="008551BD">
      <w:pPr>
        <w:spacing w:before="0" w:after="0" w:line="0" w:lineRule="atLeast"/>
        <w:jc w:val="both"/>
        <w:rPr>
          <w:rFonts w:asciiTheme="majorHAnsi" w:hAnsiTheme="majorHAnsi"/>
          <w:sz w:val="22"/>
          <w:szCs w:val="22"/>
          <w:lang w:val="sl-SI"/>
        </w:rPr>
      </w:pPr>
      <w:r w:rsidRPr="008551BD">
        <w:rPr>
          <w:rFonts w:asciiTheme="majorHAnsi" w:hAnsiTheme="majorHAnsi"/>
          <w:sz w:val="22"/>
          <w:szCs w:val="22"/>
          <w:lang w:val="sl-SI"/>
        </w:rPr>
        <w:t>Natančne finančne ocene prihranka še ni mogoče podati, vendar se pričakuje dolgoročna optimizacija stroškov upravljanja nepremičnin in zmanjšanje napak zaradi nepopolnih evidenc. Kvantitativni učinki se kažejo v povečanju števila evidentiranih nepremičnin:</w:t>
      </w:r>
    </w:p>
    <w:p w14:paraId="19C33872" w14:textId="77777777" w:rsidR="008551BD" w:rsidRPr="008551BD" w:rsidRDefault="008551BD" w:rsidP="008551BD">
      <w:pPr>
        <w:numPr>
          <w:ilvl w:val="0"/>
          <w:numId w:val="38"/>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 xml:space="preserve">Parcele: iz 57.900 (CEN2) na 61.228 (IS Gospodar), v novembru 2025 60.851 </w:t>
      </w:r>
    </w:p>
    <w:p w14:paraId="715939EA" w14:textId="77777777" w:rsidR="008551BD" w:rsidRPr="008551BD" w:rsidRDefault="008551BD" w:rsidP="008551BD">
      <w:pPr>
        <w:numPr>
          <w:ilvl w:val="0"/>
          <w:numId w:val="38"/>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Stavbe in deli stavb: iz 9.540 na 10.364, v novembru 2025 10.564</w:t>
      </w:r>
    </w:p>
    <w:p w14:paraId="070FB14F" w14:textId="77777777" w:rsidR="008551BD" w:rsidRPr="008551BD" w:rsidRDefault="008551BD" w:rsidP="008551BD">
      <w:pPr>
        <w:numPr>
          <w:ilvl w:val="0"/>
          <w:numId w:val="38"/>
        </w:numPr>
        <w:spacing w:before="0" w:after="0" w:line="0" w:lineRule="atLeast"/>
        <w:rPr>
          <w:rFonts w:asciiTheme="majorHAnsi" w:hAnsiTheme="majorHAnsi"/>
          <w:sz w:val="22"/>
          <w:szCs w:val="22"/>
          <w:lang w:val="sl-SI"/>
        </w:rPr>
      </w:pPr>
      <w:r w:rsidRPr="008551BD">
        <w:rPr>
          <w:rFonts w:asciiTheme="majorHAnsi" w:hAnsiTheme="majorHAnsi"/>
          <w:sz w:val="22"/>
          <w:szCs w:val="22"/>
          <w:lang w:val="sl-SI"/>
        </w:rPr>
        <w:t>Kompleksi: iz 4.212 na 4.272, v novembru 2025 4.530</w:t>
      </w:r>
    </w:p>
    <w:p w14:paraId="19959BA2" w14:textId="07C6DE10" w:rsidR="00B04CB0" w:rsidRPr="00396E52" w:rsidRDefault="00B04CB0" w:rsidP="008551BD">
      <w:pPr>
        <w:spacing w:before="0" w:after="0" w:line="0" w:lineRule="atLeast"/>
        <w:rPr>
          <w:rFonts w:asciiTheme="majorHAnsi" w:hAnsiTheme="majorHAnsi"/>
          <w:lang w:val="sl-SI"/>
        </w:rPr>
      </w:pPr>
    </w:p>
    <w:sectPr w:rsidR="00B04CB0" w:rsidRPr="00396E52"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D58F" w14:textId="77777777" w:rsidR="00F015C1" w:rsidRDefault="00F015C1" w:rsidP="00AD3F42">
      <w:pPr>
        <w:spacing w:before="0" w:after="0" w:line="240" w:lineRule="auto"/>
      </w:pPr>
      <w:r>
        <w:separator/>
      </w:r>
    </w:p>
  </w:endnote>
  <w:endnote w:type="continuationSeparator" w:id="0">
    <w:p w14:paraId="45B5220C" w14:textId="77777777" w:rsidR="00F015C1" w:rsidRDefault="00F015C1"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BC45" w14:textId="77777777" w:rsidR="00F015C1" w:rsidRDefault="00F015C1" w:rsidP="00AD3F42">
      <w:pPr>
        <w:spacing w:before="0" w:after="0" w:line="240" w:lineRule="auto"/>
      </w:pPr>
      <w:r>
        <w:separator/>
      </w:r>
    </w:p>
  </w:footnote>
  <w:footnote w:type="continuationSeparator" w:id="0">
    <w:p w14:paraId="57F1180F" w14:textId="77777777" w:rsidR="00F015C1" w:rsidRDefault="00F015C1"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62E3927"/>
    <w:multiLevelType w:val="multilevel"/>
    <w:tmpl w:val="B1E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D295F"/>
    <w:multiLevelType w:val="multilevel"/>
    <w:tmpl w:val="9CF0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08A5"/>
    <w:multiLevelType w:val="multilevel"/>
    <w:tmpl w:val="B3F6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B5F88"/>
    <w:multiLevelType w:val="multilevel"/>
    <w:tmpl w:val="6CC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F440F"/>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F0FFC"/>
    <w:multiLevelType w:val="multilevel"/>
    <w:tmpl w:val="BD2A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F6CCD"/>
    <w:multiLevelType w:val="multilevel"/>
    <w:tmpl w:val="977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05F85"/>
    <w:multiLevelType w:val="multilevel"/>
    <w:tmpl w:val="70B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E059D"/>
    <w:multiLevelType w:val="multilevel"/>
    <w:tmpl w:val="F788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0767F"/>
    <w:multiLevelType w:val="multilevel"/>
    <w:tmpl w:val="4BB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E1CBE"/>
    <w:multiLevelType w:val="multilevel"/>
    <w:tmpl w:val="C2E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47FD0"/>
    <w:multiLevelType w:val="multilevel"/>
    <w:tmpl w:val="671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2707C4"/>
    <w:multiLevelType w:val="multilevel"/>
    <w:tmpl w:val="228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C6232"/>
    <w:multiLevelType w:val="multilevel"/>
    <w:tmpl w:val="ADD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F7A46"/>
    <w:multiLevelType w:val="multilevel"/>
    <w:tmpl w:val="4CD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A63C5"/>
    <w:multiLevelType w:val="multilevel"/>
    <w:tmpl w:val="9A8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841CE"/>
    <w:multiLevelType w:val="multilevel"/>
    <w:tmpl w:val="5E9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E0E11"/>
    <w:multiLevelType w:val="multilevel"/>
    <w:tmpl w:val="906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90DC4"/>
    <w:multiLevelType w:val="multilevel"/>
    <w:tmpl w:val="B10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C75C3"/>
    <w:multiLevelType w:val="multilevel"/>
    <w:tmpl w:val="F9C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93CD4"/>
    <w:multiLevelType w:val="multilevel"/>
    <w:tmpl w:val="B2C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F6E51"/>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A18D8"/>
    <w:multiLevelType w:val="multilevel"/>
    <w:tmpl w:val="966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F7173"/>
    <w:multiLevelType w:val="multilevel"/>
    <w:tmpl w:val="1FE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176F1"/>
    <w:multiLevelType w:val="multilevel"/>
    <w:tmpl w:val="793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24263"/>
    <w:multiLevelType w:val="multilevel"/>
    <w:tmpl w:val="20DC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A72F1"/>
    <w:multiLevelType w:val="multilevel"/>
    <w:tmpl w:val="A64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1329D"/>
    <w:multiLevelType w:val="multilevel"/>
    <w:tmpl w:val="E1C2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01282B"/>
    <w:multiLevelType w:val="multilevel"/>
    <w:tmpl w:val="4A4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C2178"/>
    <w:multiLevelType w:val="multilevel"/>
    <w:tmpl w:val="2A7C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B27A0"/>
    <w:multiLevelType w:val="multilevel"/>
    <w:tmpl w:val="AF1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DB5372"/>
    <w:multiLevelType w:val="multilevel"/>
    <w:tmpl w:val="E47C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8"/>
  </w:num>
  <w:num w:numId="2" w16cid:durableId="533077018">
    <w:abstractNumId w:val="32"/>
  </w:num>
  <w:num w:numId="3" w16cid:durableId="616258738">
    <w:abstractNumId w:val="18"/>
  </w:num>
  <w:num w:numId="4" w16cid:durableId="493955492">
    <w:abstractNumId w:val="33"/>
  </w:num>
  <w:num w:numId="5" w16cid:durableId="1028604632">
    <w:abstractNumId w:val="14"/>
  </w:num>
  <w:num w:numId="6" w16cid:durableId="637421463">
    <w:abstractNumId w:val="0"/>
  </w:num>
  <w:num w:numId="7" w16cid:durableId="1655059269">
    <w:abstractNumId w:val="36"/>
  </w:num>
  <w:num w:numId="8" w16cid:durableId="1181508984">
    <w:abstractNumId w:val="9"/>
  </w:num>
  <w:num w:numId="9" w16cid:durableId="1418862511">
    <w:abstractNumId w:val="4"/>
  </w:num>
  <w:num w:numId="10" w16cid:durableId="1515539244">
    <w:abstractNumId w:val="25"/>
  </w:num>
  <w:num w:numId="11" w16cid:durableId="695421421">
    <w:abstractNumId w:val="5"/>
  </w:num>
  <w:num w:numId="12" w16cid:durableId="2063602043">
    <w:abstractNumId w:val="16"/>
  </w:num>
  <w:num w:numId="13" w16cid:durableId="1993369218">
    <w:abstractNumId w:val="24"/>
  </w:num>
  <w:num w:numId="14" w16cid:durableId="1797095238">
    <w:abstractNumId w:val="22"/>
  </w:num>
  <w:num w:numId="15" w16cid:durableId="1150172189">
    <w:abstractNumId w:val="37"/>
  </w:num>
  <w:num w:numId="16" w16cid:durableId="1904946878">
    <w:abstractNumId w:val="30"/>
  </w:num>
  <w:num w:numId="17" w16cid:durableId="233509642">
    <w:abstractNumId w:val="31"/>
  </w:num>
  <w:num w:numId="18" w16cid:durableId="1223978391">
    <w:abstractNumId w:val="11"/>
  </w:num>
  <w:num w:numId="19" w16cid:durableId="1604529622">
    <w:abstractNumId w:val="1"/>
  </w:num>
  <w:num w:numId="20" w16cid:durableId="1795102089">
    <w:abstractNumId w:val="15"/>
  </w:num>
  <w:num w:numId="21" w16cid:durableId="919480664">
    <w:abstractNumId w:val="26"/>
  </w:num>
  <w:num w:numId="22" w16cid:durableId="438379420">
    <w:abstractNumId w:val="27"/>
  </w:num>
  <w:num w:numId="23" w16cid:durableId="1678847836">
    <w:abstractNumId w:val="7"/>
  </w:num>
  <w:num w:numId="24" w16cid:durableId="975722532">
    <w:abstractNumId w:val="3"/>
  </w:num>
  <w:num w:numId="25" w16cid:durableId="1680697646">
    <w:abstractNumId w:val="13"/>
  </w:num>
  <w:num w:numId="26" w16cid:durableId="148789114">
    <w:abstractNumId w:val="6"/>
  </w:num>
  <w:num w:numId="27" w16cid:durableId="1145318706">
    <w:abstractNumId w:val="10"/>
  </w:num>
  <w:num w:numId="28" w16cid:durableId="1672756887">
    <w:abstractNumId w:val="35"/>
  </w:num>
  <w:num w:numId="29" w16cid:durableId="1698198624">
    <w:abstractNumId w:val="34"/>
  </w:num>
  <w:num w:numId="30" w16cid:durableId="827987620">
    <w:abstractNumId w:val="28"/>
  </w:num>
  <w:num w:numId="31" w16cid:durableId="1249541146">
    <w:abstractNumId w:val="20"/>
  </w:num>
  <w:num w:numId="32" w16cid:durableId="1619801428">
    <w:abstractNumId w:val="17"/>
  </w:num>
  <w:num w:numId="33" w16cid:durableId="194394350">
    <w:abstractNumId w:val="12"/>
  </w:num>
  <w:num w:numId="34" w16cid:durableId="2087679911">
    <w:abstractNumId w:val="19"/>
  </w:num>
  <w:num w:numId="35" w16cid:durableId="983656984">
    <w:abstractNumId w:val="2"/>
  </w:num>
  <w:num w:numId="36" w16cid:durableId="1511412095">
    <w:abstractNumId w:val="29"/>
  </w:num>
  <w:num w:numId="37" w16cid:durableId="1056202186">
    <w:abstractNumId w:val="21"/>
  </w:num>
  <w:num w:numId="38" w16cid:durableId="10588170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6397E"/>
    <w:rsid w:val="000E0005"/>
    <w:rsid w:val="00105A25"/>
    <w:rsid w:val="001444CC"/>
    <w:rsid w:val="002038E5"/>
    <w:rsid w:val="002157C2"/>
    <w:rsid w:val="00240CEA"/>
    <w:rsid w:val="0028039F"/>
    <w:rsid w:val="00287D7F"/>
    <w:rsid w:val="002B09E6"/>
    <w:rsid w:val="00300F02"/>
    <w:rsid w:val="0031593A"/>
    <w:rsid w:val="003923B0"/>
    <w:rsid w:val="0039537C"/>
    <w:rsid w:val="00396E52"/>
    <w:rsid w:val="003C4CC5"/>
    <w:rsid w:val="003C673A"/>
    <w:rsid w:val="0040309F"/>
    <w:rsid w:val="00455BAB"/>
    <w:rsid w:val="004F3A2D"/>
    <w:rsid w:val="00551916"/>
    <w:rsid w:val="0055701C"/>
    <w:rsid w:val="005D7D0B"/>
    <w:rsid w:val="006301BD"/>
    <w:rsid w:val="0063162F"/>
    <w:rsid w:val="00633534"/>
    <w:rsid w:val="00641428"/>
    <w:rsid w:val="00656187"/>
    <w:rsid w:val="00656FD1"/>
    <w:rsid w:val="00697D3B"/>
    <w:rsid w:val="006B5ED2"/>
    <w:rsid w:val="007D1625"/>
    <w:rsid w:val="007D17A4"/>
    <w:rsid w:val="007D1F42"/>
    <w:rsid w:val="00802E61"/>
    <w:rsid w:val="008551BD"/>
    <w:rsid w:val="00855687"/>
    <w:rsid w:val="0089763A"/>
    <w:rsid w:val="008B2C2E"/>
    <w:rsid w:val="008D6235"/>
    <w:rsid w:val="008E5D6E"/>
    <w:rsid w:val="009101CE"/>
    <w:rsid w:val="00AC54D8"/>
    <w:rsid w:val="00AD10CE"/>
    <w:rsid w:val="00AD3F42"/>
    <w:rsid w:val="00B00B0B"/>
    <w:rsid w:val="00B04CB0"/>
    <w:rsid w:val="00B2735E"/>
    <w:rsid w:val="00B522F1"/>
    <w:rsid w:val="00BA1C43"/>
    <w:rsid w:val="00C40D71"/>
    <w:rsid w:val="00D1706A"/>
    <w:rsid w:val="00D259A9"/>
    <w:rsid w:val="00D85BDB"/>
    <w:rsid w:val="00D970E8"/>
    <w:rsid w:val="00DA1468"/>
    <w:rsid w:val="00DB2DA0"/>
    <w:rsid w:val="00DB5BDD"/>
    <w:rsid w:val="00DD7BF4"/>
    <w:rsid w:val="00DE0034"/>
    <w:rsid w:val="00DE3414"/>
    <w:rsid w:val="00DF108C"/>
    <w:rsid w:val="00E029A0"/>
    <w:rsid w:val="00E13044"/>
    <w:rsid w:val="00E13ADD"/>
    <w:rsid w:val="00E276AD"/>
    <w:rsid w:val="00E34F12"/>
    <w:rsid w:val="00E36958"/>
    <w:rsid w:val="00E47FE0"/>
    <w:rsid w:val="00E539C0"/>
    <w:rsid w:val="00E71417"/>
    <w:rsid w:val="00E74C35"/>
    <w:rsid w:val="00F015C1"/>
    <w:rsid w:val="00F24617"/>
    <w:rsid w:val="00F9747F"/>
    <w:rsid w:val="00FB52D4"/>
    <w:rsid w:val="00FC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 w:type="character" w:styleId="Hiperpovezava">
    <w:name w:val="Hyperlink"/>
    <w:basedOn w:val="Privzetapisavaodstavka"/>
    <w:uiPriority w:val="99"/>
    <w:unhideWhenUsed/>
    <w:rsid w:val="00855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radni-list.si/glasilo-uradni-list-rs/vsebina/2018-01-379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adni-list.si/glasilo-uradni-list-rs/vsebina/2018-01-04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3-01-247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radni-list.si/glasilo-uradni-list-rs/vsebina/2018-01-3797"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8-01-0457" TargetMode="External"/><Relationship Id="rId14" Type="http://schemas.openxmlformats.org/officeDocument/2006/relationships/hyperlink" Target="https://www.uradni-list.si/glasilo-uradni-list-rs/vsebina/2023-01-247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2472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10</cp:revision>
  <cp:lastPrinted>2026-05-05T06:22:00Z</cp:lastPrinted>
  <dcterms:created xsi:type="dcterms:W3CDTF">2026-05-22T08:41:00Z</dcterms:created>
  <dcterms:modified xsi:type="dcterms:W3CDTF">2026-05-28T07:37:00Z</dcterms:modified>
</cp:coreProperties>
</file>